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25" w:type="pct"/>
        <w:tblCellSpacing w:w="72" w:type="dxa"/>
        <w:tblInd w:w="-144" w:type="dxa"/>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090C28F7" w14:textId="77777777" w:rsidTr="004F2813">
        <w:trPr>
          <w:tblHeader/>
          <w:tblCellSpacing w:w="72" w:type="dxa"/>
        </w:trPr>
        <w:tc>
          <w:tcPr>
            <w:tcW w:w="6791" w:type="dxa"/>
            <w:tcBorders>
              <w:top w:val="nil"/>
              <w:left w:val="nil"/>
              <w:bottom w:val="nil"/>
              <w:right w:val="nil"/>
            </w:tcBorders>
            <w:shd w:val="clear" w:color="auto" w:fill="487F81" w:themeFill="accent1"/>
            <w:tcMar>
              <w:right w:w="259" w:type="dxa"/>
            </w:tcMar>
            <w:vAlign w:val="center"/>
          </w:tcPr>
          <w:p w14:paraId="1ED796CF" w14:textId="77777777" w:rsidR="007E1151" w:rsidRPr="00260FF9" w:rsidRDefault="007E1151" w:rsidP="007E1151">
            <w:pPr>
              <w:jc w:val="center"/>
              <w:rPr>
                <w:b/>
                <w:color w:val="FFFFFF" w:themeColor="background1"/>
                <w:sz w:val="32"/>
                <w:szCs w:val="32"/>
              </w:rPr>
            </w:pPr>
            <w:bookmarkStart w:id="0" w:name="_Hlk536197572"/>
            <w:r w:rsidRPr="00260FF9">
              <w:rPr>
                <w:b/>
                <w:color w:val="FFFFFF" w:themeColor="background1"/>
                <w:sz w:val="32"/>
                <w:szCs w:val="32"/>
              </w:rPr>
              <w:t xml:space="preserve">COMMUNITY CORRECTIONS PARTNERSHIP </w:t>
            </w:r>
            <w:r w:rsidRPr="00260FF9">
              <w:rPr>
                <w:b/>
                <w:color w:val="FFFFFF" w:themeColor="background1"/>
                <w:sz w:val="32"/>
                <w:szCs w:val="32"/>
              </w:rPr>
              <w:br/>
              <w:t>SUB-COMMITTEE REPORT</w:t>
            </w:r>
          </w:p>
          <w:p w14:paraId="4FC1558B" w14:textId="77777777" w:rsidR="00FE4BDB" w:rsidRPr="007E1151" w:rsidRDefault="005666B7" w:rsidP="007E1151">
            <w:pPr>
              <w:jc w:val="center"/>
              <w:rPr>
                <w:b/>
                <w:color w:val="487F81" w:themeColor="accent1"/>
                <w:sz w:val="28"/>
                <w:szCs w:val="28"/>
              </w:rPr>
            </w:pPr>
            <w:r>
              <w:rPr>
                <w:noProof/>
                <w:lang w:eastAsia="en-US"/>
              </w:rPr>
              <w:drawing>
                <wp:inline distT="0" distB="0" distL="0" distR="0" wp14:anchorId="4EFD336B" wp14:editId="62AA7B51">
                  <wp:extent cx="2447925" cy="1446284"/>
                  <wp:effectExtent l="0" t="0" r="0" b="1905"/>
                  <wp:docPr id="2" name="Picture 2" descr="http://msutoday.msu.edu/_/img/assets/2017/roadtripno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utoday.msu.edu/_/img/assets/2017/roadtripnoword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178" cy="1504925"/>
                          </a:xfrm>
                          <a:prstGeom prst="rect">
                            <a:avLst/>
                          </a:prstGeom>
                          <a:noFill/>
                          <a:ln>
                            <a:noFill/>
                          </a:ln>
                        </pic:spPr>
                      </pic:pic>
                    </a:graphicData>
                  </a:graphic>
                </wp:inline>
              </w:drawing>
            </w:r>
          </w:p>
        </w:tc>
        <w:tc>
          <w:tcPr>
            <w:tcW w:w="3847" w:type="dxa"/>
            <w:tcBorders>
              <w:top w:val="nil"/>
              <w:left w:val="nil"/>
              <w:bottom w:val="nil"/>
              <w:right w:val="nil"/>
            </w:tcBorders>
            <w:shd w:val="clear" w:color="auto" w:fill="D7E8E8" w:themeFill="accent1" w:themeFillTint="33"/>
            <w:vAlign w:val="center"/>
          </w:tcPr>
          <w:p w14:paraId="46FBA73D" w14:textId="77777777" w:rsidR="00FE4BDB" w:rsidRPr="00A62AD4" w:rsidRDefault="00FE4BDB" w:rsidP="00041E3D">
            <w:pPr>
              <w:pStyle w:val="Subtitle"/>
              <w:spacing w:after="240"/>
            </w:pPr>
          </w:p>
          <w:p w14:paraId="3F4B9EA9" w14:textId="77777777" w:rsidR="00FE4BDB" w:rsidRPr="00A62AD4" w:rsidRDefault="005666B7" w:rsidP="00041E3D">
            <w:pPr>
              <w:pStyle w:val="Subtitle"/>
              <w:spacing w:after="240"/>
            </w:pPr>
            <w:r>
              <w:rPr>
                <w:noProof/>
                <w:lang w:eastAsia="en-US"/>
              </w:rPr>
              <w:drawing>
                <wp:inline distT="0" distB="0" distL="0" distR="0" wp14:anchorId="4149BE66" wp14:editId="451A1F14">
                  <wp:extent cx="2088695" cy="1133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4116" cy="1196111"/>
                          </a:xfrm>
                          <a:prstGeom prst="rect">
                            <a:avLst/>
                          </a:prstGeom>
                          <a:noFill/>
                        </pic:spPr>
                      </pic:pic>
                    </a:graphicData>
                  </a:graphic>
                </wp:inline>
              </w:drawing>
            </w:r>
          </w:p>
          <w:p w14:paraId="53128885" w14:textId="77777777" w:rsidR="00FE4BDB" w:rsidRPr="00A62AD4" w:rsidRDefault="00FE4BDB" w:rsidP="00041E3D">
            <w:pPr>
              <w:pStyle w:val="Subtitle"/>
              <w:spacing w:after="240"/>
            </w:pPr>
          </w:p>
        </w:tc>
      </w:tr>
      <w:tr w:rsidR="004205A5" w:rsidRPr="00A62AD4" w14:paraId="5C865DD3" w14:textId="77777777" w:rsidTr="004F2813">
        <w:trPr>
          <w:trHeight w:val="9540"/>
          <w:tblCellSpacing w:w="72" w:type="dxa"/>
        </w:trPr>
        <w:tc>
          <w:tcPr>
            <w:tcW w:w="10782" w:type="dxa"/>
            <w:gridSpan w:val="2"/>
            <w:tcBorders>
              <w:top w:val="nil"/>
              <w:left w:val="nil"/>
              <w:bottom w:val="nil"/>
              <w:right w:val="nil"/>
            </w:tcBorders>
            <w:shd w:val="clear" w:color="auto" w:fill="auto"/>
            <w:tcMar>
              <w:right w:w="259" w:type="dxa"/>
            </w:tcMar>
          </w:tcPr>
          <w:p w14:paraId="328C4C9F" w14:textId="77777777" w:rsidR="004205A5" w:rsidRDefault="004205A5" w:rsidP="008F6297"/>
          <w:p w14:paraId="4B642EC7" w14:textId="77777777" w:rsidR="004205A5" w:rsidRPr="00FF677F" w:rsidRDefault="004205A5" w:rsidP="008F6297">
            <w:pPr>
              <w:rPr>
                <w:b/>
                <w:sz w:val="32"/>
                <w:szCs w:val="32"/>
              </w:rPr>
            </w:pPr>
            <w:r w:rsidRPr="00FF677F">
              <w:rPr>
                <w:b/>
                <w:sz w:val="32"/>
                <w:szCs w:val="32"/>
              </w:rPr>
              <w:t>Sub-Committee Name</w:t>
            </w:r>
          </w:p>
          <w:sdt>
            <w:sdtPr>
              <w:id w:val="121583438"/>
              <w:placeholder>
                <w:docPart w:val="0D4091AA4C68409AB7EDBC1090BAB36E"/>
              </w:placeholder>
            </w:sdtPr>
            <w:sdtEndPr>
              <w:rPr>
                <w:b/>
              </w:rPr>
            </w:sdtEndPr>
            <w:sdtContent>
              <w:p w14:paraId="5D6358EA" w14:textId="77777777" w:rsidR="004205A5" w:rsidRPr="00A1095B" w:rsidRDefault="00A1095B" w:rsidP="008F6297">
                <w:pPr>
                  <w:rPr>
                    <w:b/>
                  </w:rPr>
                </w:pPr>
                <w:r w:rsidRPr="00A1095B">
                  <w:rPr>
                    <w:b/>
                  </w:rPr>
                  <w:t>Housing</w:t>
                </w:r>
              </w:p>
            </w:sdtContent>
          </w:sdt>
          <w:p w14:paraId="4756F3EE" w14:textId="77777777" w:rsidR="004205A5" w:rsidRDefault="004205A5" w:rsidP="008F6297"/>
          <w:p w14:paraId="6DD8D304" w14:textId="77777777" w:rsidR="004205A5" w:rsidRPr="00FF677F" w:rsidRDefault="004205A5" w:rsidP="008F6297">
            <w:pPr>
              <w:rPr>
                <w:b/>
                <w:sz w:val="32"/>
                <w:szCs w:val="32"/>
              </w:rPr>
            </w:pPr>
            <w:r w:rsidRPr="00FF677F">
              <w:rPr>
                <w:b/>
                <w:sz w:val="32"/>
                <w:szCs w:val="32"/>
              </w:rPr>
              <w:t>Facilitator(s)</w:t>
            </w:r>
          </w:p>
          <w:sdt>
            <w:sdtPr>
              <w:rPr>
                <w:b/>
              </w:rPr>
              <w:id w:val="1375739526"/>
              <w:placeholder>
                <w:docPart w:val="2B5836519CAD4A21BFE7134EE4DF3E72"/>
              </w:placeholder>
            </w:sdtPr>
            <w:sdtEndPr/>
            <w:sdtContent>
              <w:p w14:paraId="32242D53" w14:textId="77777777" w:rsidR="004205A5" w:rsidRDefault="00A1095B" w:rsidP="008F6297">
                <w:pPr>
                  <w:rPr>
                    <w:b/>
                  </w:rPr>
                </w:pPr>
                <w:r>
                  <w:rPr>
                    <w:b/>
                  </w:rPr>
                  <w:t>Linda Gardner and Jeannette Rodriguez</w:t>
                </w:r>
              </w:p>
            </w:sdtContent>
          </w:sdt>
          <w:p w14:paraId="30EBA025" w14:textId="77777777" w:rsidR="004205A5" w:rsidRDefault="004205A5" w:rsidP="008F6297">
            <w:pPr>
              <w:rPr>
                <w:b/>
              </w:rPr>
            </w:pPr>
          </w:p>
          <w:p w14:paraId="5A6B80DC" w14:textId="77777777" w:rsidR="004205A5" w:rsidRPr="00FF677F" w:rsidRDefault="004205A5" w:rsidP="008F6297">
            <w:pPr>
              <w:rPr>
                <w:b/>
                <w:sz w:val="32"/>
                <w:szCs w:val="32"/>
              </w:rPr>
            </w:pPr>
            <w:r w:rsidRPr="00FF677F">
              <w:rPr>
                <w:b/>
                <w:sz w:val="32"/>
                <w:szCs w:val="32"/>
              </w:rPr>
              <w:t>Dates of Meetings</w:t>
            </w:r>
          </w:p>
          <w:sdt>
            <w:sdtPr>
              <w:id w:val="757105214"/>
              <w:placeholder>
                <w:docPart w:val="A9D07BCD66634A4E90FC98E074A0B5A5"/>
              </w:placeholder>
            </w:sdtPr>
            <w:sdtEndPr/>
            <w:sdtContent>
              <w:p w14:paraId="693B5475" w14:textId="77777777" w:rsidR="004205A5" w:rsidRDefault="00A1095B" w:rsidP="008F6297">
                <w:r>
                  <w:t>2/8/19, 3/8/19, 4/12/19, 5/24/19, 6/14/19</w:t>
                </w:r>
              </w:p>
            </w:sdtContent>
          </w:sdt>
          <w:p w14:paraId="2423F2DC" w14:textId="77777777" w:rsidR="004205A5" w:rsidRDefault="004205A5" w:rsidP="008F6297">
            <w:pPr>
              <w:rPr>
                <w:b/>
              </w:rPr>
            </w:pPr>
          </w:p>
          <w:p w14:paraId="12289A0C" w14:textId="77777777" w:rsidR="004205A5" w:rsidRPr="00FF677F" w:rsidRDefault="004205A5" w:rsidP="008F6297">
            <w:pPr>
              <w:rPr>
                <w:b/>
                <w:sz w:val="32"/>
                <w:szCs w:val="32"/>
              </w:rPr>
            </w:pPr>
            <w:r w:rsidRPr="00FF677F">
              <w:rPr>
                <w:b/>
                <w:sz w:val="32"/>
                <w:szCs w:val="32"/>
              </w:rPr>
              <w:t># of Unduplicated Attendees</w:t>
            </w:r>
          </w:p>
          <w:sdt>
            <w:sdtPr>
              <w:id w:val="-1927496573"/>
              <w:placeholder>
                <w:docPart w:val="2B5836519CAD4A21BFE7134EE4DF3E72"/>
              </w:placeholder>
            </w:sdtPr>
            <w:sdtEndPr/>
            <w:sdtContent>
              <w:p w14:paraId="3AAA73B5" w14:textId="77777777" w:rsidR="004205A5" w:rsidRDefault="00D558D3" w:rsidP="008F6297">
                <w:r>
                  <w:t>33</w:t>
                </w:r>
              </w:p>
            </w:sdtContent>
          </w:sdt>
          <w:p w14:paraId="3825CD2F" w14:textId="77777777" w:rsidR="004205A5" w:rsidRDefault="004205A5" w:rsidP="008F6297">
            <w:pPr>
              <w:rPr>
                <w:b/>
              </w:rPr>
            </w:pPr>
          </w:p>
          <w:p w14:paraId="1D3D432B" w14:textId="77777777" w:rsidR="004205A5" w:rsidRPr="00E87489" w:rsidRDefault="004205A5" w:rsidP="008F6297">
            <w:pPr>
              <w:rPr>
                <w:b/>
                <w:sz w:val="32"/>
                <w:szCs w:val="32"/>
              </w:rPr>
            </w:pPr>
            <w:r w:rsidRPr="00E87489">
              <w:rPr>
                <w:b/>
                <w:sz w:val="32"/>
                <w:szCs w:val="32"/>
              </w:rPr>
              <w:t>Organizations represented at sub-committee meetings</w:t>
            </w:r>
          </w:p>
          <w:sdt>
            <w:sdtPr>
              <w:id w:val="548033946"/>
              <w:placeholder>
                <w:docPart w:val="2B5836519CAD4A21BFE7134EE4DF3E72"/>
              </w:placeholder>
            </w:sdtPr>
            <w:sdtEndPr/>
            <w:sdtContent>
              <w:sdt>
                <w:sdtPr>
                  <w:id w:val="-870143721"/>
                  <w:placeholder>
                    <w:docPart w:val="8AAAD0F4738E4073960780B531A77DF3"/>
                  </w:placeholder>
                </w:sdtPr>
                <w:sdtEndPr/>
                <w:sdtContent>
                  <w:p w14:paraId="0FB73E53" w14:textId="5C86BA4B" w:rsidR="00C22C5F" w:rsidRDefault="00C22C5F" w:rsidP="00C22C5F">
                    <w:pPr>
                      <w:pStyle w:val="ListParagraph"/>
                      <w:numPr>
                        <w:ilvl w:val="0"/>
                        <w:numId w:val="11"/>
                      </w:numPr>
                    </w:pPr>
                    <w:r>
                      <w:t>Abode Services</w:t>
                    </w:r>
                  </w:p>
                  <w:p w14:paraId="3C6E612B" w14:textId="32D0CF8E" w:rsidR="00C22C5F" w:rsidRDefault="00C22C5F" w:rsidP="00C22C5F">
                    <w:pPr>
                      <w:pStyle w:val="ListParagraph"/>
                      <w:numPr>
                        <w:ilvl w:val="0"/>
                        <w:numId w:val="11"/>
                      </w:numPr>
                    </w:pPr>
                    <w:r>
                      <w:t>Alameda County District Attorney’s Office</w:t>
                    </w:r>
                  </w:p>
                  <w:p w14:paraId="34C9CA9B" w14:textId="3528C8CA" w:rsidR="00C22C5F" w:rsidRDefault="00C22C5F" w:rsidP="00C22C5F">
                    <w:pPr>
                      <w:pStyle w:val="ListParagraph"/>
                      <w:numPr>
                        <w:ilvl w:val="0"/>
                        <w:numId w:val="11"/>
                      </w:numPr>
                    </w:pPr>
                    <w:r>
                      <w:t>Alameda County Housing &amp; Community Development Department (Community Development Agency)</w:t>
                    </w:r>
                  </w:p>
                  <w:p w14:paraId="524679D9" w14:textId="68EBAFF2" w:rsidR="00D72A4B" w:rsidRDefault="00D72A4B" w:rsidP="00D72A4B">
                    <w:pPr>
                      <w:pStyle w:val="ListParagraph"/>
                      <w:numPr>
                        <w:ilvl w:val="0"/>
                        <w:numId w:val="11"/>
                      </w:numPr>
                    </w:pPr>
                    <w:r>
                      <w:t>Alameda County Probation Department</w:t>
                    </w:r>
                  </w:p>
                  <w:p w14:paraId="142ACA15" w14:textId="78ABB383" w:rsidR="00D72A4B" w:rsidRDefault="00D72A4B" w:rsidP="00D72A4B">
                    <w:pPr>
                      <w:pStyle w:val="ListParagraph"/>
                      <w:numPr>
                        <w:ilvl w:val="0"/>
                        <w:numId w:val="11"/>
                      </w:numPr>
                    </w:pPr>
                    <w:r>
                      <w:t>Alameda County Supervisor Nate Miley’s Office</w:t>
                    </w:r>
                  </w:p>
                  <w:p w14:paraId="3C65EAF3" w14:textId="77777777" w:rsidR="00C22C5F" w:rsidRDefault="00C22C5F" w:rsidP="00C22C5F">
                    <w:pPr>
                      <w:pStyle w:val="ListParagraph"/>
                      <w:numPr>
                        <w:ilvl w:val="0"/>
                        <w:numId w:val="11"/>
                      </w:numPr>
                    </w:pPr>
                    <w:r>
                      <w:t>Bay Area Legal Aid</w:t>
                    </w:r>
                  </w:p>
                  <w:p w14:paraId="2CF33E7A" w14:textId="77777777" w:rsidR="00C22C5F" w:rsidRDefault="00C22C5F" w:rsidP="00C22C5F">
                    <w:pPr>
                      <w:pStyle w:val="ListParagraph"/>
                      <w:numPr>
                        <w:ilvl w:val="0"/>
                        <w:numId w:val="11"/>
                      </w:numPr>
                    </w:pPr>
                    <w:r>
                      <w:t>Building Opportunities for Self-Sufficiency (BOSS)</w:t>
                    </w:r>
                  </w:p>
                  <w:p w14:paraId="6E12A964" w14:textId="6CFFDD55" w:rsidR="00C22C5F" w:rsidRDefault="00C22C5F" w:rsidP="00C22C5F">
                    <w:pPr>
                      <w:pStyle w:val="ListParagraph"/>
                      <w:numPr>
                        <w:ilvl w:val="0"/>
                        <w:numId w:val="11"/>
                      </w:numPr>
                    </w:pPr>
                    <w:r>
                      <w:t>Community Advisory Board (CAB)</w:t>
                    </w:r>
                  </w:p>
                  <w:p w14:paraId="489750E9" w14:textId="21491F0A" w:rsidR="00D558D3" w:rsidRDefault="00D558D3" w:rsidP="00D72A4B">
                    <w:pPr>
                      <w:pStyle w:val="ListParagraph"/>
                      <w:numPr>
                        <w:ilvl w:val="0"/>
                        <w:numId w:val="11"/>
                      </w:numPr>
                    </w:pPr>
                    <w:r>
                      <w:t>Federal Probation</w:t>
                    </w:r>
                  </w:p>
                  <w:p w14:paraId="0D388420" w14:textId="18A7C979" w:rsidR="00C22C5F" w:rsidRDefault="00C22C5F" w:rsidP="00C22C5F">
                    <w:pPr>
                      <w:pStyle w:val="ListParagraph"/>
                      <w:numPr>
                        <w:ilvl w:val="0"/>
                        <w:numId w:val="11"/>
                      </w:numPr>
                    </w:pPr>
                    <w:r>
                      <w:t>Five Keys</w:t>
                    </w:r>
                  </w:p>
                  <w:p w14:paraId="77E8DCAD" w14:textId="6B431A7E" w:rsidR="00C22C5F" w:rsidRDefault="00C22C5F" w:rsidP="00C22C5F">
                    <w:pPr>
                      <w:pStyle w:val="ListParagraph"/>
                      <w:numPr>
                        <w:ilvl w:val="0"/>
                        <w:numId w:val="11"/>
                      </w:numPr>
                    </w:pPr>
                    <w:r>
                      <w:t>Home All</w:t>
                    </w:r>
                  </w:p>
                  <w:p w14:paraId="74606EA5" w14:textId="597BAAA7" w:rsidR="00D72A4B" w:rsidRDefault="00D72A4B" w:rsidP="00D72A4B">
                    <w:pPr>
                      <w:pStyle w:val="ListParagraph"/>
                      <w:numPr>
                        <w:ilvl w:val="0"/>
                        <w:numId w:val="11"/>
                      </w:numPr>
                    </w:pPr>
                    <w:r>
                      <w:t>Leaders in Community Alternatives (LCA)</w:t>
                    </w:r>
                  </w:p>
                  <w:p w14:paraId="784EA5E0" w14:textId="6E1885F2" w:rsidR="00C22C5F" w:rsidRDefault="00C22C5F" w:rsidP="00C22C5F">
                    <w:pPr>
                      <w:pStyle w:val="ListParagraph"/>
                      <w:numPr>
                        <w:ilvl w:val="0"/>
                        <w:numId w:val="11"/>
                      </w:numPr>
                    </w:pPr>
                    <w:r>
                      <w:t>Men of Valor Academy (MOVA)</w:t>
                    </w:r>
                  </w:p>
                  <w:p w14:paraId="30333C86" w14:textId="7A08FAD5" w:rsidR="00D72A4B" w:rsidRDefault="00D72A4B" w:rsidP="00D72A4B">
                    <w:pPr>
                      <w:pStyle w:val="ListParagraph"/>
                      <w:numPr>
                        <w:ilvl w:val="0"/>
                        <w:numId w:val="11"/>
                      </w:numPr>
                    </w:pPr>
                    <w:r>
                      <w:t>Rebuilding Together Oakland</w:t>
                    </w:r>
                  </w:p>
                  <w:p w14:paraId="458BAA8D" w14:textId="5A49F8DD" w:rsidR="00C22C5F" w:rsidRDefault="00C22C5F" w:rsidP="00D72A4B">
                    <w:pPr>
                      <w:pStyle w:val="ListParagraph"/>
                      <w:numPr>
                        <w:ilvl w:val="0"/>
                        <w:numId w:val="11"/>
                      </w:numPr>
                    </w:pPr>
                    <w:r>
                      <w:t>Shelter Oak</w:t>
                    </w:r>
                  </w:p>
                  <w:p w14:paraId="62DD234E" w14:textId="3B62139F" w:rsidR="00C22C5F" w:rsidRDefault="00C22C5F" w:rsidP="00C22C5F">
                    <w:pPr>
                      <w:pStyle w:val="ListParagraph"/>
                      <w:numPr>
                        <w:ilvl w:val="0"/>
                        <w:numId w:val="11"/>
                      </w:numPr>
                    </w:pPr>
                    <w:r>
                      <w:t>Time for Change Foundation</w:t>
                    </w:r>
                    <w:bookmarkStart w:id="1" w:name="_GoBack"/>
                    <w:bookmarkEnd w:id="1"/>
                  </w:p>
                  <w:p w14:paraId="38A5A6D0" w14:textId="77777777" w:rsidR="00D72A4B" w:rsidRDefault="00D72A4B" w:rsidP="00D72A4B">
                    <w:pPr>
                      <w:pStyle w:val="ListParagraph"/>
                      <w:numPr>
                        <w:ilvl w:val="0"/>
                        <w:numId w:val="11"/>
                      </w:numPr>
                    </w:pPr>
                    <w:r>
                      <w:t>Youth Employment Partnership (YEP)</w:t>
                    </w:r>
                  </w:p>
                  <w:p w14:paraId="498FD63C" w14:textId="68A30C8C" w:rsidR="004205A5" w:rsidRDefault="00C22C5F" w:rsidP="00D558D3">
                    <w:pPr>
                      <w:pStyle w:val="ListParagraph"/>
                      <w:numPr>
                        <w:ilvl w:val="0"/>
                        <w:numId w:val="11"/>
                      </w:numPr>
                    </w:pPr>
                  </w:p>
                </w:sdtContent>
              </w:sdt>
            </w:sdtContent>
          </w:sdt>
          <w:p w14:paraId="2E1A91BE" w14:textId="77777777" w:rsidR="004205A5" w:rsidRPr="00FF677F" w:rsidRDefault="004205A5" w:rsidP="008F6297">
            <w:pPr>
              <w:rPr>
                <w:b/>
                <w:sz w:val="32"/>
                <w:szCs w:val="32"/>
              </w:rPr>
            </w:pPr>
            <w:r w:rsidRPr="00FF677F">
              <w:rPr>
                <w:b/>
                <w:sz w:val="32"/>
                <w:szCs w:val="32"/>
              </w:rPr>
              <w:t>Recommended Performance Measures</w:t>
            </w:r>
          </w:p>
          <w:sdt>
            <w:sdtPr>
              <w:id w:val="686483299"/>
              <w:placeholder>
                <w:docPart w:val="2B5836519CAD4A21BFE7134EE4DF3E72"/>
              </w:placeholder>
            </w:sdtPr>
            <w:sdtEndPr/>
            <w:sdtContent>
              <w:p w14:paraId="4C55E69C" w14:textId="77777777" w:rsidR="00D558D3" w:rsidRDefault="00D558D3" w:rsidP="00D558D3">
                <w:pPr>
                  <w:pStyle w:val="ListParagraph"/>
                  <w:numPr>
                    <w:ilvl w:val="0"/>
                    <w:numId w:val="12"/>
                  </w:numPr>
                </w:pPr>
                <w:r>
                  <w:t xml:space="preserve">Number and percentage of target population released from incarceration in </w:t>
                </w:r>
                <w:r w:rsidRPr="00D558D3">
                  <w:rPr>
                    <w:b/>
                  </w:rPr>
                  <w:t>state</w:t>
                </w:r>
                <w:r>
                  <w:t xml:space="preserve"> prisons who have an individualized services plan </w:t>
                </w:r>
                <w:r w:rsidR="00C41824">
                  <w:t xml:space="preserve">(ISP) </w:t>
                </w:r>
                <w:r>
                  <w:t>that includes a housing assessment.</w:t>
                </w:r>
              </w:p>
              <w:p w14:paraId="167CDE8B" w14:textId="77777777" w:rsidR="00D558D3" w:rsidRDefault="00D558D3" w:rsidP="00D558D3">
                <w:pPr>
                  <w:pStyle w:val="ListParagraph"/>
                  <w:numPr>
                    <w:ilvl w:val="1"/>
                    <w:numId w:val="12"/>
                  </w:numPr>
                </w:pPr>
                <w:r>
                  <w:t>Utilization of standardized tool; COMPAS (risk and needs assessment tool)</w:t>
                </w:r>
              </w:p>
              <w:p w14:paraId="4F72353D" w14:textId="77777777" w:rsidR="00D558D3" w:rsidRPr="00D558D3" w:rsidRDefault="00D558D3" w:rsidP="00D558D3">
                <w:pPr>
                  <w:pStyle w:val="ListParagraph"/>
                  <w:numPr>
                    <w:ilvl w:val="0"/>
                    <w:numId w:val="12"/>
                  </w:numPr>
                </w:pPr>
                <w:r>
                  <w:t xml:space="preserve">Number and percentage of target population released from incarceration in </w:t>
                </w:r>
                <w:r w:rsidRPr="00D558D3">
                  <w:rPr>
                    <w:b/>
                  </w:rPr>
                  <w:t>federal</w:t>
                </w:r>
                <w:r>
                  <w:t xml:space="preserve"> prisons who have an individualized services plan that includes a housing assessment. (</w:t>
                </w:r>
                <w:r>
                  <w:rPr>
                    <w:i/>
                  </w:rPr>
                  <w:t>development needed: what aggregate data is accessible?</w:t>
                </w:r>
                <w:r w:rsidR="00B95BE5">
                  <w:rPr>
                    <w:i/>
                  </w:rPr>
                  <w:t>)</w:t>
                </w:r>
              </w:p>
              <w:p w14:paraId="6B714E95" w14:textId="77777777" w:rsidR="00C41824" w:rsidRDefault="00D558D3" w:rsidP="00D558D3">
                <w:pPr>
                  <w:pStyle w:val="ListParagraph"/>
                  <w:numPr>
                    <w:ilvl w:val="0"/>
                    <w:numId w:val="12"/>
                  </w:numPr>
                </w:pPr>
                <w:r>
                  <w:t xml:space="preserve">Number and percentage of target population released from </w:t>
                </w:r>
                <w:r w:rsidRPr="00B95BE5">
                  <w:rPr>
                    <w:b/>
                  </w:rPr>
                  <w:t>County jail</w:t>
                </w:r>
                <w:r w:rsidR="00C41824">
                  <w:t xml:space="preserve"> (after incarceration of seven days or longer) who have an individualized, integrated services plan that includes a housing assessment</w:t>
                </w:r>
              </w:p>
              <w:p w14:paraId="74E099C5" w14:textId="77777777" w:rsidR="00C41824" w:rsidRDefault="00C41824" w:rsidP="00C41824">
                <w:pPr>
                  <w:pStyle w:val="ListParagraph"/>
                  <w:numPr>
                    <w:ilvl w:val="1"/>
                    <w:numId w:val="12"/>
                  </w:numPr>
                </w:pPr>
                <w:r w:rsidRPr="00C41824">
                  <w:rPr>
                    <w:i/>
                  </w:rPr>
                  <w:t>Recommendation:</w:t>
                </w:r>
                <w:r>
                  <w:t xml:space="preserve"> modify communication to known release, within 30 days</w:t>
                </w:r>
              </w:p>
              <w:p w14:paraId="67780D48" w14:textId="77777777" w:rsidR="00C41824" w:rsidRDefault="00C41824" w:rsidP="00C41824">
                <w:pPr>
                  <w:pStyle w:val="ListParagraph"/>
                  <w:numPr>
                    <w:ilvl w:val="1"/>
                    <w:numId w:val="12"/>
                  </w:numPr>
                </w:pPr>
                <w:r>
                  <w:rPr>
                    <w:i/>
                  </w:rPr>
                  <w:t xml:space="preserve">Recommendation: </w:t>
                </w:r>
                <w:r>
                  <w:t>integrate and utilize single assessment tool while in County jail</w:t>
                </w:r>
              </w:p>
              <w:p w14:paraId="03A26099" w14:textId="5271EFAD" w:rsidR="00C41824" w:rsidRDefault="00C41824" w:rsidP="00C41824">
                <w:pPr>
                  <w:pStyle w:val="ListParagraph"/>
                  <w:numPr>
                    <w:ilvl w:val="0"/>
                    <w:numId w:val="12"/>
                  </w:numPr>
                </w:pPr>
                <w:r>
                  <w:t>Number and percentage of target population who have an individualized, integrated services plan with a housing placement upon release, at state</w:t>
                </w:r>
                <w:r w:rsidR="00B95BE5">
                  <w:t xml:space="preserve"> and </w:t>
                </w:r>
                <w:r>
                  <w:t>federal sites (which meets identified needs)</w:t>
                </w:r>
              </w:p>
              <w:p w14:paraId="07606E1B" w14:textId="77777777" w:rsidR="00C41824" w:rsidRDefault="00C41824" w:rsidP="00C41824">
                <w:pPr>
                  <w:pStyle w:val="ListParagraph"/>
                  <w:numPr>
                    <w:ilvl w:val="0"/>
                    <w:numId w:val="12"/>
                  </w:numPr>
                </w:pPr>
                <w:r>
                  <w:t>Number and percentage of target population with permanent housing on or before last day of involvement with criminal justice system (e.g. upon release, or at end of parole or probation services)</w:t>
                </w:r>
              </w:p>
              <w:p w14:paraId="196CAED8" w14:textId="77777777" w:rsidR="00723F0F" w:rsidRDefault="00C41824" w:rsidP="00C41824">
                <w:pPr>
                  <w:pStyle w:val="ListParagraph"/>
                  <w:numPr>
                    <w:ilvl w:val="0"/>
                    <w:numId w:val="12"/>
                  </w:numPr>
                </w:pPr>
                <w:r>
                  <w:t xml:space="preserve">Number and percentage of target population with housing </w:t>
                </w:r>
                <w:r w:rsidR="00723F0F">
                  <w:t>after a need has been identified (immediately post-release and for those whose need arose subsequent to release, while under supervision) by housing type obtained:</w:t>
                </w:r>
              </w:p>
              <w:p w14:paraId="797C4E4F" w14:textId="77777777" w:rsidR="00723F0F" w:rsidRDefault="00723F0F" w:rsidP="00723F0F">
                <w:pPr>
                  <w:pStyle w:val="ListParagraph"/>
                  <w:numPr>
                    <w:ilvl w:val="1"/>
                    <w:numId w:val="12"/>
                  </w:numPr>
                </w:pPr>
                <w:r>
                  <w:t>Housing type: Permanent, transitional/temporary housing</w:t>
                </w:r>
              </w:p>
              <w:p w14:paraId="30D53598" w14:textId="77777777" w:rsidR="00723F0F" w:rsidRDefault="00723F0F" w:rsidP="00723F0F">
                <w:pPr>
                  <w:pStyle w:val="ListParagraph"/>
                  <w:numPr>
                    <w:ilvl w:val="1"/>
                    <w:numId w:val="12"/>
                  </w:numPr>
                </w:pPr>
                <w:r>
                  <w:rPr>
                    <w:i/>
                  </w:rPr>
                  <w:t>Recommendation:</w:t>
                </w:r>
                <w:r>
                  <w:t xml:space="preserve"> align uniform definitions of types of housing, coordination of CDCR, federal, local data</w:t>
                </w:r>
              </w:p>
              <w:p w14:paraId="7E75DCA9" w14:textId="77777777" w:rsidR="00723F0F" w:rsidRDefault="00723F0F" w:rsidP="00723F0F">
                <w:pPr>
                  <w:pStyle w:val="ListParagraph"/>
                  <w:numPr>
                    <w:ilvl w:val="0"/>
                    <w:numId w:val="12"/>
                  </w:numPr>
                </w:pPr>
                <w:r>
                  <w:t>Number and percentage of target population who become homeless, or return to homelessness after being housed upon release</w:t>
                </w:r>
              </w:p>
              <w:p w14:paraId="0A9F3470" w14:textId="77777777" w:rsidR="00723F0F" w:rsidRDefault="00723F0F" w:rsidP="00723F0F">
                <w:pPr>
                  <w:pStyle w:val="ListParagraph"/>
                  <w:numPr>
                    <w:ilvl w:val="1"/>
                    <w:numId w:val="12"/>
                  </w:numPr>
                </w:pPr>
                <w:r>
                  <w:rPr>
                    <w:i/>
                  </w:rPr>
                  <w:t>Recommendation</w:t>
                </w:r>
                <w:r>
                  <w:t xml:space="preserve">: develop/utilize common definition of homelessness </w:t>
                </w:r>
              </w:p>
              <w:p w14:paraId="18AB55AD" w14:textId="77777777" w:rsidR="00723F0F" w:rsidRDefault="00723F0F" w:rsidP="00723F0F">
                <w:pPr>
                  <w:pStyle w:val="ListParagraph"/>
                  <w:numPr>
                    <w:ilvl w:val="0"/>
                    <w:numId w:val="12"/>
                  </w:numPr>
                </w:pPr>
                <w:r>
                  <w:t>Number and percentage of target population who retain permanent housing:</w:t>
                </w:r>
              </w:p>
              <w:p w14:paraId="00028F0A" w14:textId="77777777" w:rsidR="004205A5" w:rsidRDefault="00723F0F" w:rsidP="00723F0F">
                <w:pPr>
                  <w:pStyle w:val="ListParagraph"/>
                  <w:numPr>
                    <w:ilvl w:val="1"/>
                    <w:numId w:val="12"/>
                  </w:numPr>
                </w:pPr>
                <w:r>
                  <w:t xml:space="preserve">90 days, 180 days, and 12 months </w:t>
                </w:r>
              </w:p>
            </w:sdtContent>
          </w:sdt>
          <w:p w14:paraId="7D362727" w14:textId="77777777" w:rsidR="004205A5" w:rsidRDefault="004205A5" w:rsidP="008F6297"/>
          <w:p w14:paraId="21891009" w14:textId="77777777" w:rsidR="004205A5" w:rsidRDefault="004205A5" w:rsidP="008F6297"/>
          <w:p w14:paraId="2238FD44" w14:textId="77777777" w:rsidR="004205A5" w:rsidRDefault="004205A5" w:rsidP="008F6297"/>
          <w:p w14:paraId="7F58E4ED" w14:textId="77777777" w:rsidR="004205A5" w:rsidRPr="00FF677F" w:rsidRDefault="004205A5" w:rsidP="008F6297">
            <w:pPr>
              <w:rPr>
                <w:b/>
                <w:sz w:val="32"/>
                <w:szCs w:val="32"/>
              </w:rPr>
            </w:pPr>
            <w:r w:rsidRPr="00FF677F">
              <w:rPr>
                <w:b/>
                <w:sz w:val="32"/>
                <w:szCs w:val="32"/>
              </w:rPr>
              <w:t>Recommended Strategies</w:t>
            </w:r>
          </w:p>
          <w:sdt>
            <w:sdtPr>
              <w:id w:val="284397330"/>
              <w:placeholder>
                <w:docPart w:val="2B5836519CAD4A21BFE7134EE4DF3E72"/>
              </w:placeholder>
            </w:sdtPr>
            <w:sdtEndPr/>
            <w:sdtContent>
              <w:p w14:paraId="10536664" w14:textId="77777777" w:rsidR="00723F0F" w:rsidRDefault="00723F0F" w:rsidP="00723F0F">
                <w:pPr>
                  <w:pStyle w:val="ListParagraph"/>
                  <w:numPr>
                    <w:ilvl w:val="0"/>
                    <w:numId w:val="13"/>
                  </w:numPr>
                </w:pPr>
                <w:r>
                  <w:t>Coordinate efforts to create new housing and service resources:</w:t>
                </w:r>
              </w:p>
              <w:p w14:paraId="6A8BBB67" w14:textId="77777777" w:rsidR="00236D77" w:rsidRDefault="00723F0F" w:rsidP="00236D77">
                <w:pPr>
                  <w:pStyle w:val="ListParagraph"/>
                  <w:numPr>
                    <w:ilvl w:val="1"/>
                    <w:numId w:val="13"/>
                  </w:numPr>
                </w:pPr>
                <w:r>
                  <w:t xml:space="preserve">Increase access to existing </w:t>
                </w:r>
                <w:r w:rsidR="00236D77">
                  <w:t>resources</w:t>
                </w:r>
              </w:p>
              <w:p w14:paraId="0DA15DA6" w14:textId="3BCFEEE2" w:rsidR="00236D77" w:rsidRDefault="00236D77" w:rsidP="00236D77">
                <w:pPr>
                  <w:pStyle w:val="ListParagraph"/>
                  <w:numPr>
                    <w:ilvl w:val="1"/>
                    <w:numId w:val="13"/>
                  </w:numPr>
                </w:pPr>
                <w:r>
                  <w:t xml:space="preserve">Further </w:t>
                </w:r>
                <w:r w:rsidR="00B95BE5">
                  <w:t xml:space="preserve">coordination </w:t>
                </w:r>
                <w:r>
                  <w:t>with federal, CDCR, ACPD resources</w:t>
                </w:r>
              </w:p>
              <w:p w14:paraId="02926D1E" w14:textId="77777777" w:rsidR="00236D77" w:rsidRDefault="00236D77" w:rsidP="00236D77">
                <w:pPr>
                  <w:pStyle w:val="ListParagraph"/>
                  <w:numPr>
                    <w:ilvl w:val="1"/>
                    <w:numId w:val="13"/>
                  </w:numPr>
                </w:pPr>
                <w:r>
                  <w:t>Develop resource guide for housing</w:t>
                </w:r>
              </w:p>
              <w:p w14:paraId="4670DA23" w14:textId="77777777" w:rsidR="00236D77" w:rsidRDefault="00236D77" w:rsidP="00236D77">
                <w:pPr>
                  <w:pStyle w:val="ListParagraph"/>
                  <w:numPr>
                    <w:ilvl w:val="1"/>
                    <w:numId w:val="13"/>
                  </w:numPr>
                </w:pPr>
                <w:r>
                  <w:t>Summarize strategies to successful</w:t>
                </w:r>
                <w:r w:rsidR="00B95BE5">
                  <w:t>ly</w:t>
                </w:r>
                <w:r>
                  <w:t xml:space="preserve"> obtain and retain housing</w:t>
                </w:r>
              </w:p>
              <w:p w14:paraId="726D3A12" w14:textId="77777777" w:rsidR="00236D77" w:rsidRDefault="00236D77" w:rsidP="00236D77">
                <w:pPr>
                  <w:pStyle w:val="ListParagraph"/>
                  <w:numPr>
                    <w:ilvl w:val="0"/>
                    <w:numId w:val="13"/>
                  </w:numPr>
                </w:pPr>
                <w:r>
                  <w:t>Develop/expand and coordinate system of direct access from incarceration to housing, identified in individualized services plans</w:t>
                </w:r>
              </w:p>
              <w:p w14:paraId="6359AEB6" w14:textId="77777777" w:rsidR="00236D77" w:rsidRDefault="00236D77" w:rsidP="00236D77">
                <w:pPr>
                  <w:pStyle w:val="ListParagraph"/>
                  <w:numPr>
                    <w:ilvl w:val="1"/>
                    <w:numId w:val="13"/>
                  </w:numPr>
                </w:pPr>
                <w:r>
                  <w:t>Streamline/utilize common tools (i.e. federal: Home Plan completed pre-release)</w:t>
                </w:r>
              </w:p>
              <w:p w14:paraId="029064CC" w14:textId="77777777" w:rsidR="00236D77" w:rsidRDefault="00236D77" w:rsidP="00236D77">
                <w:pPr>
                  <w:pStyle w:val="ListParagraph"/>
                  <w:numPr>
                    <w:ilvl w:val="1"/>
                    <w:numId w:val="13"/>
                  </w:numPr>
                </w:pPr>
                <w:r>
                  <w:t>COMPAS tool (newly implemented and used within ACPD)</w:t>
                </w:r>
              </w:p>
              <w:p w14:paraId="78779011" w14:textId="77777777" w:rsidR="00236D77" w:rsidRDefault="00236D77" w:rsidP="00236D77">
                <w:pPr>
                  <w:pStyle w:val="ListParagraph"/>
                  <w:numPr>
                    <w:ilvl w:val="0"/>
                    <w:numId w:val="13"/>
                  </w:numPr>
                </w:pPr>
                <w:r>
                  <w:t>Coordinate efforts with Probation Department, State, Federal Parole, Federal Probation, ACSO, CDCR, non-profit providers, and the community to access and retain housing, including housing for registered sex offenders</w:t>
                </w:r>
              </w:p>
              <w:p w14:paraId="1DDED198" w14:textId="77777777" w:rsidR="00236D77" w:rsidRDefault="00236D77" w:rsidP="00236D77">
                <w:pPr>
                  <w:pStyle w:val="ListParagraph"/>
                  <w:numPr>
                    <w:ilvl w:val="1"/>
                    <w:numId w:val="13"/>
                  </w:numPr>
                </w:pPr>
                <w:r>
                  <w:t>Ensure integration of wrap-around services</w:t>
                </w:r>
              </w:p>
              <w:p w14:paraId="081B708A" w14:textId="77777777" w:rsidR="00236D77" w:rsidRDefault="00236D77" w:rsidP="00236D77">
                <w:pPr>
                  <w:pStyle w:val="ListParagraph"/>
                  <w:numPr>
                    <w:ilvl w:val="0"/>
                    <w:numId w:val="13"/>
                  </w:numPr>
                </w:pPr>
                <w:r>
                  <w:t>Educate re-entry service providers, parole agents, probation officers, and other</w:t>
                </w:r>
                <w:r w:rsidR="00B95BE5">
                  <w:t>s</w:t>
                </w:r>
                <w:r>
                  <w:t xml:space="preserve"> regarding the range of housing </w:t>
                </w:r>
                <w:r w:rsidR="00B95BE5">
                  <w:t xml:space="preserve">available </w:t>
                </w:r>
                <w:r>
                  <w:t>and how to access housing</w:t>
                </w:r>
              </w:p>
              <w:p w14:paraId="1FB91A14" w14:textId="77777777" w:rsidR="00236D77" w:rsidRDefault="00236D77" w:rsidP="00236D77">
                <w:pPr>
                  <w:pStyle w:val="ListParagraph"/>
                  <w:numPr>
                    <w:ilvl w:val="1"/>
                    <w:numId w:val="13"/>
                  </w:numPr>
                </w:pPr>
                <w:r>
                  <w:t>Develop/maintenance of accurate list of resources (data repository)</w:t>
                </w:r>
              </w:p>
              <w:p w14:paraId="1B2A30BC" w14:textId="77777777" w:rsidR="00236D77" w:rsidRDefault="00236D77" w:rsidP="00236D77">
                <w:pPr>
                  <w:pStyle w:val="ListParagraph"/>
                  <w:numPr>
                    <w:ilvl w:val="0"/>
                    <w:numId w:val="13"/>
                  </w:numPr>
                </w:pPr>
                <w:r>
                  <w:t>Evaluate and track housing referrals, follow-up on referral</w:t>
                </w:r>
              </w:p>
              <w:p w14:paraId="3C9C4A01" w14:textId="77777777" w:rsidR="00236D77" w:rsidRDefault="00CE3877" w:rsidP="00236D77">
                <w:pPr>
                  <w:pStyle w:val="ListParagraph"/>
                  <w:numPr>
                    <w:ilvl w:val="1"/>
                    <w:numId w:val="13"/>
                  </w:numPr>
                </w:pPr>
                <w:r>
                  <w:t xml:space="preserve">Opportunity to align aggregate data with CDCR, further integrate </w:t>
                </w:r>
              </w:p>
              <w:p w14:paraId="52CFDA8F" w14:textId="77777777" w:rsidR="00CE3877" w:rsidRDefault="00CE3877" w:rsidP="00236D77">
                <w:pPr>
                  <w:pStyle w:val="ListParagraph"/>
                  <w:numPr>
                    <w:ilvl w:val="0"/>
                    <w:numId w:val="13"/>
                  </w:numPr>
                </w:pPr>
                <w:r w:rsidRPr="00CE3877">
                  <w:rPr>
                    <w:i/>
                  </w:rPr>
                  <w:t>Recommendation:</w:t>
                </w:r>
                <w:r>
                  <w:t xml:space="preserve"> </w:t>
                </w:r>
                <w:r w:rsidR="00236D77">
                  <w:t>Add Re-Entry staff in County Administrators Office (CAO)</w:t>
                </w:r>
              </w:p>
              <w:p w14:paraId="0B0083C2" w14:textId="77777777" w:rsidR="00CE3877" w:rsidRDefault="00CE3877" w:rsidP="00236D77">
                <w:pPr>
                  <w:pStyle w:val="ListParagraph"/>
                  <w:numPr>
                    <w:ilvl w:val="0"/>
                    <w:numId w:val="13"/>
                  </w:numPr>
                </w:pPr>
                <w:r>
                  <w:t xml:space="preserve">Create a </w:t>
                </w:r>
                <w:r w:rsidR="00B95BE5">
                  <w:t xml:space="preserve">Re-Entry </w:t>
                </w:r>
                <w:r>
                  <w:t>Housing Resource Committee</w:t>
                </w:r>
              </w:p>
              <w:p w14:paraId="2DCB5ADB" w14:textId="77777777" w:rsidR="00CE3877" w:rsidRDefault="00CE3877" w:rsidP="00CE3877">
                <w:pPr>
                  <w:pStyle w:val="ListParagraph"/>
                  <w:numPr>
                    <w:ilvl w:val="0"/>
                    <w:numId w:val="13"/>
                  </w:numPr>
                </w:pPr>
                <w:r>
                  <w:t>Expand capacity of housing programs for target population</w:t>
                </w:r>
              </w:p>
              <w:p w14:paraId="6D6951EE" w14:textId="77777777" w:rsidR="00CE3877" w:rsidRDefault="00CE3877" w:rsidP="00CE3877">
                <w:pPr>
                  <w:pStyle w:val="ListParagraph"/>
                  <w:numPr>
                    <w:ilvl w:val="0"/>
                    <w:numId w:val="13"/>
                  </w:numPr>
                </w:pPr>
                <w:r>
                  <w:t>Development and use of common/shared pre-release housing assessment tools across systems to identify housing services needed for the target population and resources needed to support reintegration into the community</w:t>
                </w:r>
              </w:p>
              <w:p w14:paraId="7C791783" w14:textId="77777777" w:rsidR="00CE3877" w:rsidRDefault="00CE3877" w:rsidP="00CE3877">
                <w:pPr>
                  <w:pStyle w:val="ListParagraph"/>
                  <w:numPr>
                    <w:ilvl w:val="0"/>
                    <w:numId w:val="13"/>
                  </w:numPr>
                </w:pPr>
                <w:r>
                  <w:t>Prior to release, case coordination with client, transition staff to review COMPAS assessment housing needs</w:t>
                </w:r>
              </w:p>
              <w:p w14:paraId="4C87E6C3" w14:textId="77777777" w:rsidR="00CE3877" w:rsidRDefault="00CE3877" w:rsidP="00CE3877">
                <w:pPr>
                  <w:pStyle w:val="ListParagraph"/>
                  <w:numPr>
                    <w:ilvl w:val="1"/>
                    <w:numId w:val="13"/>
                  </w:numPr>
                </w:pPr>
                <w:r>
                  <w:t>Newly implemented: pre-release skype meetings</w:t>
                </w:r>
              </w:p>
              <w:p w14:paraId="14ACAF85" w14:textId="77777777" w:rsidR="00CE3877" w:rsidRDefault="00CE3877" w:rsidP="00CE3877">
                <w:pPr>
                  <w:pStyle w:val="ListParagraph"/>
                  <w:numPr>
                    <w:ilvl w:val="0"/>
                    <w:numId w:val="13"/>
                  </w:numPr>
                </w:pPr>
                <w:r>
                  <w:t>Engage potential landlords, explore barriers to housing, assess potential solutions, provision of subsidies to landlords who support target population</w:t>
                </w:r>
              </w:p>
              <w:p w14:paraId="3FD62B47" w14:textId="77777777" w:rsidR="00CE3877" w:rsidRDefault="00CE3877" w:rsidP="00CE3877">
                <w:pPr>
                  <w:pStyle w:val="ListParagraph"/>
                  <w:numPr>
                    <w:ilvl w:val="1"/>
                    <w:numId w:val="13"/>
                  </w:numPr>
                </w:pPr>
                <w:r>
                  <w:rPr>
                    <w:i/>
                  </w:rPr>
                  <w:lastRenderedPageBreak/>
                  <w:t>Recommendation:</w:t>
                </w:r>
                <w:r>
                  <w:t xml:space="preserve"> satellite Section 8 list (Probation), set-aside units</w:t>
                </w:r>
              </w:p>
              <w:p w14:paraId="164711D8" w14:textId="77777777" w:rsidR="00FA1895" w:rsidRDefault="00FA1895" w:rsidP="00CE3877">
                <w:pPr>
                  <w:pStyle w:val="ListParagraph"/>
                  <w:numPr>
                    <w:ilvl w:val="1"/>
                    <w:numId w:val="13"/>
                  </w:numPr>
                </w:pPr>
                <w:r>
                  <w:rPr>
                    <w:i/>
                  </w:rPr>
                  <w:t>Recommendation:</w:t>
                </w:r>
                <w:r>
                  <w:t xml:space="preserve"> engagement and coordination with local city partners</w:t>
                </w:r>
              </w:p>
              <w:p w14:paraId="3F845726" w14:textId="77777777" w:rsidR="00FA1895" w:rsidRDefault="00FA1895" w:rsidP="00FA1895">
                <w:pPr>
                  <w:pStyle w:val="ListParagraph"/>
                  <w:numPr>
                    <w:ilvl w:val="2"/>
                    <w:numId w:val="13"/>
                  </w:numPr>
                </w:pPr>
                <w:r>
                  <w:t>i.e. Accessory Dwelling Unit (ADU) opportunities</w:t>
                </w:r>
              </w:p>
              <w:p w14:paraId="66B1990D" w14:textId="77777777" w:rsidR="00C72C33" w:rsidRDefault="00FA1895" w:rsidP="00CE3877">
                <w:pPr>
                  <w:pStyle w:val="ListParagraph"/>
                  <w:numPr>
                    <w:ilvl w:val="0"/>
                    <w:numId w:val="13"/>
                  </w:numPr>
                </w:pPr>
                <w:r>
                  <w:t xml:space="preserve">Increase coordination between employment, benefits programs, housing, and education programs to ensure income to support the ability to secure and retain long-term </w:t>
                </w:r>
                <w:r w:rsidR="009E681B">
                  <w:t>housing</w:t>
                </w:r>
                <w:r w:rsidR="00C72C33">
                  <w:t>.</w:t>
                </w:r>
              </w:p>
              <w:p w14:paraId="531011D0" w14:textId="0D5C8AE9" w:rsidR="00FA1895" w:rsidRDefault="00C72C33" w:rsidP="00C72C33">
                <w:pPr>
                  <w:pStyle w:val="ListParagraph"/>
                  <w:numPr>
                    <w:ilvl w:val="1"/>
                    <w:numId w:val="13"/>
                  </w:numPr>
                </w:pPr>
                <w:r>
                  <w:rPr>
                    <w:i/>
                  </w:rPr>
                  <w:t>Recommendation:</w:t>
                </w:r>
                <w:r>
                  <w:t xml:space="preserve"> Housing “step-up” plan (housing supported, then tapered, based upon completion of training – i.e. mental health outpatient services, employ</w:t>
                </w:r>
                <w:r w:rsidR="002E31B5">
                  <w:t>ment training, academic enrichment)</w:t>
                </w:r>
                <w:r w:rsidR="009E681B">
                  <w:t xml:space="preserve"> </w:t>
                </w:r>
              </w:p>
              <w:p w14:paraId="2A883D91" w14:textId="77777777" w:rsidR="005D5EF0" w:rsidRDefault="005D5EF0" w:rsidP="00CE3877">
                <w:pPr>
                  <w:pStyle w:val="ListParagraph"/>
                  <w:numPr>
                    <w:ilvl w:val="0"/>
                    <w:numId w:val="13"/>
                  </w:numPr>
                </w:pPr>
                <w:r>
                  <w:t>Provision of services and support that help establish or re-establish relationships between target population and family members, when appropriate.</w:t>
                </w:r>
              </w:p>
              <w:p w14:paraId="47AEB7D2" w14:textId="77777777" w:rsidR="005D5EF0" w:rsidRDefault="005D5EF0" w:rsidP="005D5EF0">
                <w:pPr>
                  <w:pStyle w:val="ListParagraph"/>
                  <w:numPr>
                    <w:ilvl w:val="1"/>
                    <w:numId w:val="13"/>
                  </w:numPr>
                </w:pPr>
                <w:r>
                  <w:t>Create flexible funding/housing pool to support family (utilities, groceries); recommend support for up to six months</w:t>
                </w:r>
              </w:p>
              <w:p w14:paraId="14CECC75" w14:textId="77777777" w:rsidR="004205A5" w:rsidRPr="00332F52" w:rsidRDefault="005D5EF0" w:rsidP="005D5EF0">
                <w:pPr>
                  <w:pStyle w:val="ListParagraph"/>
                  <w:numPr>
                    <w:ilvl w:val="0"/>
                    <w:numId w:val="13"/>
                  </w:numPr>
                </w:pPr>
                <w:r>
                  <w:t xml:space="preserve">Coordinate pre-release services and support, which provide </w:t>
                </w:r>
                <w:r>
                  <w:rPr>
                    <w:u w:val="single"/>
                  </w:rPr>
                  <w:t>realistic housing expectations</w:t>
                </w:r>
                <w:r>
                  <w:t xml:space="preserve"> and understanding to those preparing to reenter the community.</w:t>
                </w:r>
              </w:p>
            </w:sdtContent>
          </w:sdt>
        </w:tc>
      </w:tr>
      <w:bookmarkEnd w:id="0"/>
    </w:tbl>
    <w:p w14:paraId="29CA3FC5" w14:textId="77777777" w:rsidR="00A62AD4" w:rsidRPr="00A62AD4" w:rsidRDefault="00A62AD4" w:rsidP="008F6297">
      <w:pPr>
        <w:pStyle w:val="NoSpacing"/>
      </w:pPr>
    </w:p>
    <w:sectPr w:rsidR="00A62AD4" w:rsidRPr="00A62AD4" w:rsidSect="00A62AD4">
      <w:footerReference w:type="default" r:id="rId10"/>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F463" w14:textId="77777777" w:rsidR="0094757F" w:rsidRDefault="0094757F">
      <w:pPr>
        <w:spacing w:after="0" w:line="240" w:lineRule="auto"/>
      </w:pPr>
      <w:r>
        <w:separator/>
      </w:r>
    </w:p>
  </w:endnote>
  <w:endnote w:type="continuationSeparator" w:id="0">
    <w:p w14:paraId="50CF8194" w14:textId="77777777" w:rsidR="0094757F" w:rsidRDefault="0094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39390"/>
      <w:docPartObj>
        <w:docPartGallery w:val="Page Numbers (Bottom of Page)"/>
        <w:docPartUnique/>
      </w:docPartObj>
    </w:sdtPr>
    <w:sdtEndPr>
      <w:rPr>
        <w:noProof/>
      </w:rPr>
    </w:sdtEndPr>
    <w:sdtContent>
      <w:p w14:paraId="0F2D732E" w14:textId="77777777" w:rsidR="00840850" w:rsidRDefault="00840850">
        <w:pPr>
          <w:pStyle w:val="Footer"/>
        </w:pPr>
        <w:r>
          <w:fldChar w:fldCharType="begin"/>
        </w:r>
        <w:r>
          <w:instrText xml:space="preserve"> PAGE   \* MERGEFORMAT </w:instrText>
        </w:r>
        <w:r>
          <w:fldChar w:fldCharType="separate"/>
        </w:r>
        <w:r w:rsidR="00B95BE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C2C44" w14:textId="77777777" w:rsidR="0094757F" w:rsidRDefault="0094757F">
      <w:pPr>
        <w:spacing w:after="0" w:line="240" w:lineRule="auto"/>
      </w:pPr>
      <w:r>
        <w:separator/>
      </w:r>
    </w:p>
  </w:footnote>
  <w:footnote w:type="continuationSeparator" w:id="0">
    <w:p w14:paraId="77B6D42A" w14:textId="77777777" w:rsidR="0094757F" w:rsidRDefault="00947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BA326D"/>
    <w:multiLevelType w:val="hybridMultilevel"/>
    <w:tmpl w:val="3094E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92323"/>
    <w:multiLevelType w:val="hybridMultilevel"/>
    <w:tmpl w:val="46FA5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F6758"/>
    <w:multiLevelType w:val="hybridMultilevel"/>
    <w:tmpl w:val="C678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151"/>
    <w:rsid w:val="000351C0"/>
    <w:rsid w:val="001635C3"/>
    <w:rsid w:val="00190FFE"/>
    <w:rsid w:val="00212FC8"/>
    <w:rsid w:val="00236D77"/>
    <w:rsid w:val="00260FF9"/>
    <w:rsid w:val="002A752A"/>
    <w:rsid w:val="002E31B5"/>
    <w:rsid w:val="00315564"/>
    <w:rsid w:val="00332F52"/>
    <w:rsid w:val="003640D2"/>
    <w:rsid w:val="00373061"/>
    <w:rsid w:val="0039607E"/>
    <w:rsid w:val="003A1681"/>
    <w:rsid w:val="003F34EC"/>
    <w:rsid w:val="00406099"/>
    <w:rsid w:val="004205A5"/>
    <w:rsid w:val="004A152B"/>
    <w:rsid w:val="004F2813"/>
    <w:rsid w:val="00525EE9"/>
    <w:rsid w:val="00547B35"/>
    <w:rsid w:val="005666B7"/>
    <w:rsid w:val="00597246"/>
    <w:rsid w:val="005C1E03"/>
    <w:rsid w:val="005D5EF0"/>
    <w:rsid w:val="005E6CD7"/>
    <w:rsid w:val="00604635"/>
    <w:rsid w:val="00661932"/>
    <w:rsid w:val="00723F0F"/>
    <w:rsid w:val="00791271"/>
    <w:rsid w:val="007E1151"/>
    <w:rsid w:val="007E689D"/>
    <w:rsid w:val="00840850"/>
    <w:rsid w:val="008D5551"/>
    <w:rsid w:val="008D799B"/>
    <w:rsid w:val="008F6297"/>
    <w:rsid w:val="0094757F"/>
    <w:rsid w:val="00974A53"/>
    <w:rsid w:val="009E681B"/>
    <w:rsid w:val="00A1095B"/>
    <w:rsid w:val="00A62AD4"/>
    <w:rsid w:val="00A62DE4"/>
    <w:rsid w:val="00A63E63"/>
    <w:rsid w:val="00A83F67"/>
    <w:rsid w:val="00AA4917"/>
    <w:rsid w:val="00B049A7"/>
    <w:rsid w:val="00B17A07"/>
    <w:rsid w:val="00B862AA"/>
    <w:rsid w:val="00B95BE5"/>
    <w:rsid w:val="00BA21E7"/>
    <w:rsid w:val="00BE35DB"/>
    <w:rsid w:val="00C22C5F"/>
    <w:rsid w:val="00C41824"/>
    <w:rsid w:val="00C72C33"/>
    <w:rsid w:val="00C73579"/>
    <w:rsid w:val="00C846F3"/>
    <w:rsid w:val="00CE3877"/>
    <w:rsid w:val="00D558D3"/>
    <w:rsid w:val="00D72A4B"/>
    <w:rsid w:val="00D91B70"/>
    <w:rsid w:val="00DB195B"/>
    <w:rsid w:val="00E27C48"/>
    <w:rsid w:val="00E85770"/>
    <w:rsid w:val="00E87489"/>
    <w:rsid w:val="00F176B5"/>
    <w:rsid w:val="00F73772"/>
    <w:rsid w:val="00FA1895"/>
    <w:rsid w:val="00FA5A23"/>
    <w:rsid w:val="00FC645A"/>
    <w:rsid w:val="00FE4BDB"/>
    <w:rsid w:val="00FF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594C3D"/>
  <w15:chartTrackingRefBased/>
  <w15:docId w15:val="{ADAA87C0-C56C-4BF1-9E6E-1B75673B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orton\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4091AA4C68409AB7EDBC1090BAB36E"/>
        <w:category>
          <w:name w:val="General"/>
          <w:gallery w:val="placeholder"/>
        </w:category>
        <w:types>
          <w:type w:val="bbPlcHdr"/>
        </w:types>
        <w:behaviors>
          <w:behavior w:val="content"/>
        </w:behaviors>
        <w:guid w:val="{3F9FCF8D-0AC3-4EFB-9989-CC48510EC935}"/>
      </w:docPartPr>
      <w:docPartBody>
        <w:p w:rsidR="007553F6" w:rsidRDefault="005F7462" w:rsidP="005F7462">
          <w:pPr>
            <w:pStyle w:val="0D4091AA4C68409AB7EDBC1090BAB36E"/>
          </w:pPr>
          <w:r w:rsidRPr="006C476D">
            <w:rPr>
              <w:rStyle w:val="PlaceholderText"/>
            </w:rPr>
            <w:t>Click or tap here to enter text.</w:t>
          </w:r>
        </w:p>
      </w:docPartBody>
    </w:docPart>
    <w:docPart>
      <w:docPartPr>
        <w:name w:val="2B5836519CAD4A21BFE7134EE4DF3E72"/>
        <w:category>
          <w:name w:val="General"/>
          <w:gallery w:val="placeholder"/>
        </w:category>
        <w:types>
          <w:type w:val="bbPlcHdr"/>
        </w:types>
        <w:behaviors>
          <w:behavior w:val="content"/>
        </w:behaviors>
        <w:guid w:val="{7F8D8E8E-E49F-4460-BFAE-88C60EEB0D9C}"/>
      </w:docPartPr>
      <w:docPartBody>
        <w:p w:rsidR="007553F6" w:rsidRDefault="005F7462" w:rsidP="005F7462">
          <w:pPr>
            <w:pStyle w:val="2B5836519CAD4A21BFE7134EE4DF3E72"/>
          </w:pPr>
          <w:r w:rsidRPr="006C476D">
            <w:rPr>
              <w:rStyle w:val="PlaceholderText"/>
            </w:rPr>
            <w:t>Click or tap here to enter text.</w:t>
          </w:r>
        </w:p>
      </w:docPartBody>
    </w:docPart>
    <w:docPart>
      <w:docPartPr>
        <w:name w:val="A9D07BCD66634A4E90FC98E074A0B5A5"/>
        <w:category>
          <w:name w:val="General"/>
          <w:gallery w:val="placeholder"/>
        </w:category>
        <w:types>
          <w:type w:val="bbPlcHdr"/>
        </w:types>
        <w:behaviors>
          <w:behavior w:val="content"/>
        </w:behaviors>
        <w:guid w:val="{4394B752-82B2-40D1-AB71-1F7EEEF36622}"/>
      </w:docPartPr>
      <w:docPartBody>
        <w:p w:rsidR="007553F6" w:rsidRDefault="005F7462" w:rsidP="005F7462">
          <w:pPr>
            <w:pStyle w:val="A9D07BCD66634A4E90FC98E074A0B5A5"/>
          </w:pPr>
          <w:r w:rsidRPr="006C476D">
            <w:rPr>
              <w:rStyle w:val="PlaceholderText"/>
            </w:rPr>
            <w:t>Click or tap here to enter text.</w:t>
          </w:r>
        </w:p>
      </w:docPartBody>
    </w:docPart>
    <w:docPart>
      <w:docPartPr>
        <w:name w:val="8AAAD0F4738E4073960780B531A77DF3"/>
        <w:category>
          <w:name w:val="General"/>
          <w:gallery w:val="placeholder"/>
        </w:category>
        <w:types>
          <w:type w:val="bbPlcHdr"/>
        </w:types>
        <w:behaviors>
          <w:behavior w:val="content"/>
        </w:behaviors>
        <w:guid w:val="{23967923-5FBD-440B-90BA-D262482C3568}"/>
      </w:docPartPr>
      <w:docPartBody>
        <w:p w:rsidR="003E6FC7" w:rsidRDefault="003E347A" w:rsidP="003E347A">
          <w:pPr>
            <w:pStyle w:val="8AAAD0F4738E4073960780B531A77DF3"/>
          </w:pPr>
          <w:r w:rsidRPr="006C47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5E"/>
    <w:rsid w:val="002D15D8"/>
    <w:rsid w:val="0037315E"/>
    <w:rsid w:val="003E347A"/>
    <w:rsid w:val="003E6FC7"/>
    <w:rsid w:val="005F7462"/>
    <w:rsid w:val="007553F6"/>
    <w:rsid w:val="007B50F6"/>
    <w:rsid w:val="00DA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FDB86197A3438B956EF6BE8454D99F">
    <w:name w:val="6CFDB86197A3438B956EF6BE8454D99F"/>
  </w:style>
  <w:style w:type="paragraph" w:customStyle="1" w:styleId="D0B53214F44C4E56B2955162662DD75C">
    <w:name w:val="D0B53214F44C4E56B2955162662DD75C"/>
  </w:style>
  <w:style w:type="paragraph" w:customStyle="1" w:styleId="95817D6BABA24C1498D9AD357E24063E">
    <w:name w:val="95817D6BABA24C1498D9AD357E24063E"/>
  </w:style>
  <w:style w:type="paragraph" w:customStyle="1" w:styleId="F965FA10AFF346DFBD0D49680C83407D">
    <w:name w:val="F965FA10AFF346DFBD0D49680C83407D"/>
  </w:style>
  <w:style w:type="paragraph" w:customStyle="1" w:styleId="94A987FC8A2642D79F6705EC1DEAA3B9">
    <w:name w:val="94A987FC8A2642D79F6705EC1DEAA3B9"/>
  </w:style>
  <w:style w:type="paragraph" w:customStyle="1" w:styleId="3E347BAC793646BAA58853313A7D60E7">
    <w:name w:val="3E347BAC793646BAA58853313A7D60E7"/>
  </w:style>
  <w:style w:type="paragraph" w:customStyle="1" w:styleId="BC5CBF3A11344136B6C25C733A8A9A15">
    <w:name w:val="BC5CBF3A11344136B6C25C733A8A9A15"/>
  </w:style>
  <w:style w:type="paragraph" w:customStyle="1" w:styleId="542051DEFFC745D2B8D2A30F5F9DE2C3">
    <w:name w:val="542051DEFFC745D2B8D2A30F5F9DE2C3"/>
  </w:style>
  <w:style w:type="paragraph" w:customStyle="1" w:styleId="17BEE08F527942B09A2213F1E5B8E0E4">
    <w:name w:val="17BEE08F527942B09A2213F1E5B8E0E4"/>
  </w:style>
  <w:style w:type="paragraph" w:customStyle="1" w:styleId="5DC4F613434842539E4DB9E43F4322F9">
    <w:name w:val="5DC4F613434842539E4DB9E43F4322F9"/>
  </w:style>
  <w:style w:type="paragraph" w:customStyle="1" w:styleId="D91779D47984437DAF04C42B6B07F001">
    <w:name w:val="D91779D47984437DAF04C42B6B07F001"/>
  </w:style>
  <w:style w:type="character" w:styleId="PlaceholderText">
    <w:name w:val="Placeholder Text"/>
    <w:basedOn w:val="DefaultParagraphFont"/>
    <w:uiPriority w:val="99"/>
    <w:semiHidden/>
    <w:rsid w:val="003E347A"/>
    <w:rPr>
      <w:color w:val="595959" w:themeColor="text1" w:themeTint="A6"/>
    </w:rPr>
  </w:style>
  <w:style w:type="paragraph" w:customStyle="1" w:styleId="54CB69802F5B42E5945F39FD9839734B">
    <w:name w:val="54CB69802F5B42E5945F39FD9839734B"/>
    <w:rsid w:val="0037315E"/>
  </w:style>
  <w:style w:type="paragraph" w:customStyle="1" w:styleId="4FE86A0CFCBE4B90842635E3E54CBE45">
    <w:name w:val="4FE86A0CFCBE4B90842635E3E54CBE45"/>
    <w:rsid w:val="0037315E"/>
  </w:style>
  <w:style w:type="paragraph" w:customStyle="1" w:styleId="D02A69C6350C48C1AFA15CE8806B56F8">
    <w:name w:val="D02A69C6350C48C1AFA15CE8806B56F8"/>
    <w:rsid w:val="0037315E"/>
  </w:style>
  <w:style w:type="paragraph" w:customStyle="1" w:styleId="28D3B4A5BCC04FA999F1DA810DE2BFC2">
    <w:name w:val="28D3B4A5BCC04FA999F1DA810DE2BFC2"/>
    <w:rsid w:val="0037315E"/>
  </w:style>
  <w:style w:type="paragraph" w:customStyle="1" w:styleId="F75ECCBA129C453BB858066D01E22820">
    <w:name w:val="F75ECCBA129C453BB858066D01E22820"/>
    <w:rsid w:val="0037315E"/>
  </w:style>
  <w:style w:type="paragraph" w:customStyle="1" w:styleId="1BB50F2C37CC48609264001A60734284">
    <w:name w:val="1BB50F2C37CC48609264001A60734284"/>
    <w:rsid w:val="0037315E"/>
  </w:style>
  <w:style w:type="paragraph" w:customStyle="1" w:styleId="F54F37A4E893421AA1DF546BFEBDFB3F">
    <w:name w:val="F54F37A4E893421AA1DF546BFEBDFB3F"/>
    <w:rsid w:val="0037315E"/>
  </w:style>
  <w:style w:type="paragraph" w:customStyle="1" w:styleId="7414FD376757447A8C648FD6D555AF66">
    <w:name w:val="7414FD376757447A8C648FD6D555AF66"/>
    <w:rsid w:val="0037315E"/>
  </w:style>
  <w:style w:type="paragraph" w:customStyle="1" w:styleId="0D4091AA4C68409AB7EDBC1090BAB36E">
    <w:name w:val="0D4091AA4C68409AB7EDBC1090BAB36E"/>
    <w:rsid w:val="005F7462"/>
  </w:style>
  <w:style w:type="paragraph" w:customStyle="1" w:styleId="2B5836519CAD4A21BFE7134EE4DF3E72">
    <w:name w:val="2B5836519CAD4A21BFE7134EE4DF3E72"/>
    <w:rsid w:val="005F7462"/>
  </w:style>
  <w:style w:type="paragraph" w:customStyle="1" w:styleId="A9D07BCD66634A4E90FC98E074A0B5A5">
    <w:name w:val="A9D07BCD66634A4E90FC98E074A0B5A5"/>
    <w:rsid w:val="005F7462"/>
  </w:style>
  <w:style w:type="paragraph" w:customStyle="1" w:styleId="DC17E7C9E0BB43849DFA203E631985AB">
    <w:name w:val="DC17E7C9E0BB43849DFA203E631985AB"/>
    <w:rsid w:val="003E347A"/>
  </w:style>
  <w:style w:type="paragraph" w:customStyle="1" w:styleId="8AAAD0F4738E4073960780B531A77DF3">
    <w:name w:val="8AAAD0F4738E4073960780B531A77DF3"/>
    <w:rsid w:val="003E347A"/>
  </w:style>
  <w:style w:type="paragraph" w:customStyle="1" w:styleId="0F8946C8CE3945378079BEF709485677">
    <w:name w:val="0F8946C8CE3945378079BEF709485677"/>
    <w:rsid w:val="003E3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095A-9D62-4F25-AD8D-C5D32CD8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Flyer.dotx</Template>
  <TotalTime>4</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Norton, LaLisha, Probation</cp:lastModifiedBy>
  <cp:revision>3</cp:revision>
  <dcterms:created xsi:type="dcterms:W3CDTF">2019-07-23T20:45:00Z</dcterms:created>
  <dcterms:modified xsi:type="dcterms:W3CDTF">2019-07-23T21:15:00Z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