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C04D3E">
        <w:trPr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C04D3E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>
              <w:rPr>
                <w:b/>
              </w:rPr>
            </w:sdtEndPr>
            <w:sdtContent>
              <w:p w14:paraId="0A44CAC6" w14:textId="69DDFCD9" w:rsidR="004205A5" w:rsidRPr="0079762C" w:rsidRDefault="00427E8D" w:rsidP="008F6297">
                <w:pPr>
                  <w:rPr>
                    <w:b/>
                  </w:rPr>
                </w:pPr>
                <w:r w:rsidRPr="0079762C">
                  <w:rPr>
                    <w:b/>
                  </w:rPr>
                  <w:t>Education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43B54353" w14:textId="5078CA61" w:rsidR="004205A5" w:rsidRPr="0079762C" w:rsidRDefault="007804E5" w:rsidP="008F6297">
                <w:pPr>
                  <w:rPr>
                    <w:b/>
                  </w:rPr>
                </w:pPr>
                <w:r w:rsidRPr="0079762C">
                  <w:rPr>
                    <w:b/>
                  </w:rPr>
                  <w:t xml:space="preserve">Dr. </w:t>
                </w:r>
                <w:r w:rsidR="00427E8D" w:rsidRPr="0079762C">
                  <w:rPr>
                    <w:b/>
                  </w:rPr>
                  <w:t>Tina Vasconcellos, College of Alameda and Monica Vaughn, Alameda County Office of Education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1A19A9F3" w:rsidR="004205A5" w:rsidRDefault="00427E8D" w:rsidP="008F6297">
                <w:r>
                  <w:t>9/14/18, 11/30/18, and 1/25/19</w:t>
                </w:r>
              </w:p>
            </w:sdtContent>
          </w:sdt>
          <w:p w14:paraId="334F5604" w14:textId="77777777" w:rsidR="004205A5" w:rsidRDefault="004205A5" w:rsidP="008F6297"/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74E7F112" w:rsidR="004205A5" w:rsidRDefault="00427E8D" w:rsidP="008F6297">
                <w:r>
                  <w:t>2</w:t>
                </w:r>
                <w:r w:rsidR="007B5A8D">
                  <w:t>6</w:t>
                </w:r>
              </w:p>
            </w:sdtContent>
          </w:sdt>
          <w:p w14:paraId="5C5AE991" w14:textId="77777777" w:rsidR="004205A5" w:rsidRDefault="004205A5" w:rsidP="008F6297"/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7B52B47E" w14:textId="77777777" w:rsidR="00183103" w:rsidRDefault="00C01148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Office of Education</w:t>
                </w:r>
              </w:p>
              <w:p w14:paraId="3651555C" w14:textId="77777777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Alameda County Probation Department </w:t>
                </w:r>
              </w:p>
              <w:p w14:paraId="58422815" w14:textId="77777777" w:rsidR="002519A9" w:rsidRDefault="002519A9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Berkeley Underground Scholars</w:t>
                </w:r>
              </w:p>
              <w:p w14:paraId="02CF8452" w14:textId="6C3789C0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California Department of Corrections and Rehabilitation </w:t>
                </w:r>
                <w:proofErr w:type="spellStart"/>
                <w:r>
                  <w:t>DAPO</w:t>
                </w:r>
                <w:proofErr w:type="spellEnd"/>
                <w:r>
                  <w:t xml:space="preserve"> (Parole)</w:t>
                </w:r>
              </w:p>
              <w:p w14:paraId="0F8101EC" w14:textId="63C8C4CC" w:rsidR="00C04D3E" w:rsidRDefault="00C01148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Chabot College</w:t>
                </w:r>
                <w:r w:rsidR="00DD1242">
                  <w:t xml:space="preserve"> </w:t>
                </w:r>
              </w:p>
              <w:p w14:paraId="304FE54A" w14:textId="7D08807F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College of Alameda </w:t>
                </w:r>
              </w:p>
              <w:p w14:paraId="1ACC335D" w14:textId="4A36844B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East Bay Works </w:t>
                </w:r>
              </w:p>
              <w:p w14:paraId="76E887E4" w14:textId="78BCBD1B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Five Keys </w:t>
                </w:r>
              </w:p>
              <w:p w14:paraId="680B14B9" w14:textId="0C26F35F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Laney College </w:t>
                </w:r>
              </w:p>
              <w:p w14:paraId="3525C34F" w14:textId="04C27BDA" w:rsidR="002519A9" w:rsidRDefault="002519A9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Northern Alameda Education Council </w:t>
                </w:r>
              </w:p>
              <w:p w14:paraId="42A331C8" w14:textId="23738101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Open Gate, Inc. </w:t>
                </w:r>
              </w:p>
              <w:p w14:paraId="78A3A045" w14:textId="38486D9B" w:rsidR="002519A9" w:rsidRDefault="002519A9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RISE </w:t>
                </w:r>
              </w:p>
              <w:p w14:paraId="31CDF67C" w14:textId="77777777" w:rsidR="002519A9" w:rsidRDefault="002519A9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Rubicon Programs </w:t>
                </w:r>
              </w:p>
              <w:p w14:paraId="54ECB22D" w14:textId="7310A048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Solano Community College </w:t>
                </w:r>
              </w:p>
              <w:p w14:paraId="63EA3ECC" w14:textId="2C78025C" w:rsidR="002519A9" w:rsidRDefault="002519A9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proofErr w:type="spellStart"/>
                <w:r>
                  <w:lastRenderedPageBreak/>
                  <w:t>Soulciety</w:t>
                </w:r>
                <w:proofErr w:type="spellEnd"/>
                <w:r>
                  <w:t xml:space="preserve"> </w:t>
                </w:r>
              </w:p>
              <w:p w14:paraId="18D27145" w14:textId="4FAF5348" w:rsidR="00183103" w:rsidRDefault="00183103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Street Scholars </w:t>
                </w:r>
              </w:p>
              <w:p w14:paraId="4A7656B3" w14:textId="64B51576" w:rsidR="00C04D3E" w:rsidRDefault="00DD1242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The Opportunity Institute </w:t>
                </w:r>
              </w:p>
              <w:p w14:paraId="5C6A0A06" w14:textId="327A9A51" w:rsidR="00183103" w:rsidRDefault="007B5A8D" w:rsidP="002519A9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Urban Strategies Council </w:t>
                </w:r>
              </w:p>
            </w:sdtContent>
          </w:sdt>
          <w:p w14:paraId="4DED558F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p w14:paraId="52B3555A" w14:textId="77777777" w:rsidR="00C04D3E" w:rsidRPr="002519A9" w:rsidRDefault="00C04D3E" w:rsidP="007F5B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cstheme="minorHAnsi"/>
                <w:bCs/>
              </w:rPr>
            </w:pPr>
            <w:r w:rsidRPr="002519A9">
              <w:rPr>
                <w:rFonts w:cstheme="minorHAnsi"/>
                <w:bCs/>
              </w:rPr>
              <w:t>Percent of target population completing GED or High School prior to release</w:t>
            </w:r>
          </w:p>
          <w:p w14:paraId="21CF3A92" w14:textId="328583E2" w:rsidR="00C04D3E" w:rsidRPr="002519A9" w:rsidRDefault="00C04D3E" w:rsidP="007F5B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cstheme="minorHAnsi"/>
                <w:bCs/>
              </w:rPr>
            </w:pPr>
            <w:r w:rsidRPr="002519A9">
              <w:rPr>
                <w:rFonts w:cstheme="minorHAnsi"/>
                <w:bCs/>
              </w:rPr>
              <w:t>Percent of target population enrolling and completing GED or High School within two years of release</w:t>
            </w:r>
          </w:p>
          <w:p w14:paraId="64B2FBA7" w14:textId="60C1822D" w:rsidR="00C04D3E" w:rsidRPr="002519A9" w:rsidRDefault="00C04D3E" w:rsidP="007F5B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cstheme="minorHAnsi"/>
                <w:bCs/>
              </w:rPr>
            </w:pPr>
            <w:r w:rsidRPr="002519A9">
              <w:rPr>
                <w:rFonts w:cstheme="minorHAnsi"/>
                <w:bCs/>
              </w:rPr>
              <w:t>Percent of (eligible) target population completing secondary/post-secondary education or academic services (GED, Diploma, College) prior to release</w:t>
            </w:r>
          </w:p>
          <w:p w14:paraId="73885D31" w14:textId="77777777" w:rsidR="00C04D3E" w:rsidRPr="002519A9" w:rsidRDefault="00C04D3E" w:rsidP="007F5BD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cstheme="minorHAnsi"/>
                <w:bCs/>
              </w:rPr>
            </w:pPr>
            <w:r w:rsidRPr="002519A9">
              <w:rPr>
                <w:rFonts w:cstheme="minorHAnsi"/>
                <w:bCs/>
              </w:rPr>
              <w:t xml:space="preserve">Percent of target population </w:t>
            </w:r>
            <w:r w:rsidRPr="002519A9">
              <w:rPr>
                <w:rFonts w:cstheme="minorHAnsi"/>
                <w:bCs/>
                <w:color w:val="365E60" w:themeColor="accent1" w:themeShade="BF"/>
              </w:rPr>
              <w:t xml:space="preserve">enrolling and </w:t>
            </w:r>
            <w:r w:rsidRPr="002519A9">
              <w:rPr>
                <w:rFonts w:cstheme="minorHAnsi"/>
                <w:bCs/>
              </w:rPr>
              <w:t>completing college level courses within one year of release</w:t>
            </w:r>
          </w:p>
          <w:p w14:paraId="3FDCBD38" w14:textId="2F5A4E34" w:rsidR="004205A5" w:rsidRDefault="002519A9" w:rsidP="007F5BDA">
            <w:pPr>
              <w:pStyle w:val="ListParagraph"/>
              <w:numPr>
                <w:ilvl w:val="0"/>
                <w:numId w:val="16"/>
              </w:numPr>
            </w:pPr>
            <w:r w:rsidRPr="002519A9">
              <w:rPr>
                <w:rFonts w:cstheme="minorHAnsi"/>
                <w:bCs/>
              </w:rPr>
              <w:t xml:space="preserve">Percent of target population attaining a higher education degree </w:t>
            </w:r>
            <w:r w:rsidRPr="002519A9">
              <w:rPr>
                <w:rFonts w:cstheme="minorHAnsi"/>
                <w:bCs/>
                <w:color w:val="365E60" w:themeColor="accent1" w:themeShade="BF"/>
              </w:rPr>
              <w:t xml:space="preserve">or certificate </w:t>
            </w:r>
            <w:r w:rsidRPr="002519A9">
              <w:rPr>
                <w:rFonts w:cstheme="minorHAnsi"/>
                <w:bCs/>
              </w:rPr>
              <w:t>within four years of release</w:t>
            </w:r>
          </w:p>
          <w:p w14:paraId="3E2B7D6C" w14:textId="59DD3B97" w:rsidR="00C04D3E" w:rsidRPr="002519A9" w:rsidRDefault="002519A9" w:rsidP="007F5BD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519A9">
              <w:rPr>
                <w:rFonts w:cstheme="minorHAnsi"/>
                <w:bCs/>
              </w:rPr>
              <w:t>Percent of target population completing Career Technical Education within two years of release</w:t>
            </w:r>
          </w:p>
          <w:p w14:paraId="1743F264" w14:textId="0F49C144" w:rsidR="002519A9" w:rsidRPr="002519A9" w:rsidRDefault="002519A9" w:rsidP="007F5BDA">
            <w:pPr>
              <w:pStyle w:val="ListParagraph"/>
              <w:numPr>
                <w:ilvl w:val="0"/>
                <w:numId w:val="16"/>
              </w:numPr>
            </w:pPr>
            <w:r w:rsidRPr="002519A9">
              <w:rPr>
                <w:rFonts w:cstheme="minorHAnsi"/>
                <w:bCs/>
              </w:rPr>
              <w:t>Number and percent of viable, short-term Career Technical Education programs available for the target population, pre- and post-release</w:t>
            </w:r>
          </w:p>
          <w:p w14:paraId="1B87FF3C" w14:textId="4B5756BF" w:rsidR="002519A9" w:rsidRDefault="002519A9" w:rsidP="007F5BDA">
            <w:pPr>
              <w:pStyle w:val="ListParagraph"/>
              <w:numPr>
                <w:ilvl w:val="0"/>
                <w:numId w:val="16"/>
              </w:numPr>
            </w:pPr>
            <w:r w:rsidRPr="004D2D2F">
              <w:rPr>
                <w:rFonts w:cstheme="minorHAnsi"/>
                <w:bCs/>
              </w:rPr>
              <w:t>Percent of target population utilizing educational services in County facilities (Target: 15% within one year of plan implementation)</w:t>
            </w:r>
          </w:p>
          <w:p w14:paraId="5C09C8D7" w14:textId="77777777" w:rsidR="002519A9" w:rsidRDefault="002519A9" w:rsidP="008F6297">
            <w:pPr>
              <w:rPr>
                <w:b/>
                <w:sz w:val="32"/>
                <w:szCs w:val="32"/>
              </w:rPr>
            </w:pPr>
          </w:p>
          <w:p w14:paraId="1253D2CE" w14:textId="3340E7CF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386E9A9F" w14:textId="355AA2EC" w:rsidR="00242E10" w:rsidRDefault="00242E10" w:rsidP="000C4903">
                <w:pPr>
                  <w:widowControl w:val="0"/>
                  <w:tabs>
                    <w:tab w:val="left" w:pos="90"/>
                  </w:tabs>
                  <w:ind w:left="720" w:hanging="450"/>
                  <w:rPr>
                    <w:rFonts w:cstheme="minorHAnsi"/>
                    <w:bCs/>
                  </w:rPr>
                </w:pPr>
                <w:r>
                  <w:t>1</w:t>
                </w:r>
                <w:r w:rsidR="00670F98">
                  <w:t>.</w:t>
                </w:r>
                <w:r>
                  <w:t>(</w:t>
                </w:r>
                <w:proofErr w:type="gramStart"/>
                <w:r>
                  <w:t>a)</w:t>
                </w:r>
                <w:r w:rsidR="00670F98">
                  <w:t xml:space="preserve">  </w:t>
                </w:r>
                <w:r w:rsidRPr="00242E10">
                  <w:rPr>
                    <w:rFonts w:cstheme="minorHAnsi"/>
                    <w:bCs/>
                  </w:rPr>
                  <w:t>Develop</w:t>
                </w:r>
                <w:proofErr w:type="gramEnd"/>
                <w:r w:rsidRPr="00242E10">
                  <w:rPr>
                    <w:rFonts w:cstheme="minorHAnsi"/>
                    <w:bCs/>
                  </w:rPr>
                  <w:t xml:space="preserve"> an Alameda County </w:t>
                </w:r>
                <w:proofErr w:type="spellStart"/>
                <w:r w:rsidRPr="00242E10">
                  <w:rPr>
                    <w:rFonts w:cstheme="minorHAnsi"/>
                    <w:bCs/>
                  </w:rPr>
                  <w:t>Re-entry</w:t>
                </w:r>
                <w:proofErr w:type="spellEnd"/>
                <w:r w:rsidRPr="00242E10">
                  <w:rPr>
                    <w:rFonts w:cstheme="minorHAnsi"/>
                    <w:bCs/>
                  </w:rPr>
                  <w:t xml:space="preserve"> Education Network that includes staff from County facilities, Regional Occupation Program (</w:t>
                </w:r>
                <w:proofErr w:type="spellStart"/>
                <w:r w:rsidRPr="00242E10">
                  <w:rPr>
                    <w:rFonts w:cstheme="minorHAnsi"/>
                    <w:bCs/>
                  </w:rPr>
                  <w:t>ROP</w:t>
                </w:r>
                <w:proofErr w:type="spellEnd"/>
                <w:r w:rsidRPr="00242E10">
                  <w:rPr>
                    <w:rFonts w:cstheme="minorHAnsi"/>
                    <w:bCs/>
                  </w:rPr>
                  <w:t>), community colleges, nonprofits, etc. within one year of plan implementation</w:t>
                </w:r>
                <w:r>
                  <w:rPr>
                    <w:rFonts w:cstheme="minorHAnsi"/>
                    <w:bCs/>
                  </w:rPr>
                  <w:t>.</w:t>
                </w:r>
                <w:r w:rsidRPr="00242E10">
                  <w:rPr>
                    <w:rFonts w:cstheme="minorHAnsi"/>
                    <w:bCs/>
                  </w:rPr>
                  <w:t xml:space="preserve"> </w:t>
                </w:r>
              </w:p>
              <w:p w14:paraId="7128FD6A" w14:textId="77777777" w:rsidR="001471B7" w:rsidRPr="00242E10" w:rsidRDefault="001471B7" w:rsidP="000C4903">
                <w:pPr>
                  <w:widowControl w:val="0"/>
                  <w:tabs>
                    <w:tab w:val="left" w:pos="90"/>
                  </w:tabs>
                  <w:ind w:left="720" w:hanging="450"/>
                  <w:rPr>
                    <w:rFonts w:cstheme="minorHAnsi"/>
                    <w:bCs/>
                  </w:rPr>
                </w:pPr>
              </w:p>
              <w:p w14:paraId="17D5E486" w14:textId="4411E857" w:rsidR="00670F98" w:rsidRDefault="00242E10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720" w:hanging="45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</w:t>
                </w:r>
                <w:r w:rsidR="00670F98">
                  <w:rPr>
                    <w:rFonts w:cstheme="minorHAnsi"/>
                    <w:bCs/>
                  </w:rPr>
                  <w:t xml:space="preserve">. </w:t>
                </w:r>
                <w:r>
                  <w:rPr>
                    <w:rFonts w:cstheme="minorHAnsi"/>
                    <w:bCs/>
                  </w:rPr>
                  <w:t>(</w:t>
                </w:r>
                <w:proofErr w:type="gramStart"/>
                <w:r>
                  <w:rPr>
                    <w:rFonts w:cstheme="minorHAnsi"/>
                    <w:bCs/>
                  </w:rPr>
                  <w:t>b)</w:t>
                </w:r>
                <w:r w:rsidR="00670F98">
                  <w:rPr>
                    <w:rFonts w:cstheme="minorHAnsi"/>
                    <w:bCs/>
                  </w:rPr>
                  <w:t xml:space="preserve">  </w:t>
                </w:r>
                <w:r>
                  <w:rPr>
                    <w:rFonts w:cstheme="minorHAnsi"/>
                    <w:bCs/>
                  </w:rPr>
                  <w:t xml:space="preserve"> </w:t>
                </w:r>
                <w:proofErr w:type="gramEnd"/>
                <w:r w:rsidRPr="00242E10">
                  <w:rPr>
                    <w:rFonts w:cstheme="minorHAnsi"/>
                    <w:bCs/>
                  </w:rPr>
                  <w:t xml:space="preserve">Develop clear pipelines linking individuals to the Education Network for GED or high school diploma opportunities, literacy programs, Career Technical Education at </w:t>
                </w:r>
                <w:proofErr w:type="spellStart"/>
                <w:r w:rsidRPr="00242E10">
                  <w:rPr>
                    <w:rFonts w:cstheme="minorHAnsi"/>
                    <w:bCs/>
                  </w:rPr>
                  <w:t>ROP</w:t>
                </w:r>
                <w:proofErr w:type="spellEnd"/>
                <w:r w:rsidRPr="00242E10">
                  <w:rPr>
                    <w:rFonts w:cstheme="minorHAnsi"/>
                    <w:bCs/>
                  </w:rPr>
                  <w:t xml:space="preserve"> or community colleges, traditional Associate Degree or four-year degree pathways</w:t>
                </w:r>
                <w:r>
                  <w:rPr>
                    <w:rFonts w:cstheme="minorHAnsi"/>
                    <w:bCs/>
                  </w:rPr>
                  <w:t>.</w:t>
                </w:r>
                <w:r w:rsidR="00670F98" w:rsidRPr="004D2D2F">
                  <w:rPr>
                    <w:rFonts w:cstheme="minorHAnsi"/>
                    <w:bCs/>
                  </w:rPr>
                  <w:t xml:space="preserve"> </w:t>
                </w:r>
              </w:p>
              <w:p w14:paraId="7E0B3076" w14:textId="77777777" w:rsidR="001471B7" w:rsidRDefault="001471B7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720" w:hanging="450"/>
                  <w:rPr>
                    <w:rFonts w:cstheme="minorHAnsi"/>
                    <w:bCs/>
                  </w:rPr>
                </w:pPr>
              </w:p>
              <w:p w14:paraId="65B6E2CB" w14:textId="082BE853" w:rsidR="00670F98" w:rsidRDefault="00670F98" w:rsidP="000C4903">
                <w:pPr>
                  <w:widowControl w:val="0"/>
                  <w:ind w:left="720" w:hanging="45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1. </w:t>
                </w:r>
                <w:r w:rsidR="007F5BDA">
                  <w:rPr>
                    <w:rFonts w:cstheme="minorHAnsi"/>
                    <w:bCs/>
                  </w:rPr>
                  <w:t>(</w:t>
                </w:r>
                <w:r>
                  <w:rPr>
                    <w:rFonts w:cstheme="minorHAnsi"/>
                    <w:bCs/>
                  </w:rPr>
                  <w:t>c</w:t>
                </w:r>
                <w:proofErr w:type="gramStart"/>
                <w:r>
                  <w:rPr>
                    <w:rFonts w:cstheme="minorHAnsi"/>
                    <w:bCs/>
                  </w:rPr>
                  <w:t xml:space="preserve">)  </w:t>
                </w:r>
                <w:r w:rsidRPr="004D2D2F">
                  <w:rPr>
                    <w:rFonts w:cstheme="minorHAnsi"/>
                    <w:bCs/>
                  </w:rPr>
                  <w:t>Create</w:t>
                </w:r>
                <w:proofErr w:type="gramEnd"/>
                <w:r w:rsidRPr="004D2D2F">
                  <w:rPr>
                    <w:rFonts w:cstheme="minorHAnsi"/>
                    <w:bCs/>
                  </w:rPr>
                  <w:t xml:space="preserve"> a system whereby participants authorize information sharing amongst network providers to eliminate duplication of services and participant frustration</w:t>
                </w:r>
              </w:p>
              <w:p w14:paraId="68A70B57" w14:textId="77777777" w:rsidR="00670F98" w:rsidRDefault="00670F98" w:rsidP="00670F98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rPr>
                    <w:rFonts w:cstheme="minorHAnsi"/>
                    <w:bCs/>
                  </w:rPr>
                </w:pPr>
              </w:p>
              <w:p w14:paraId="27C98A0E" w14:textId="41815BCC" w:rsidR="00670F98" w:rsidRPr="004D2D2F" w:rsidRDefault="007F5BDA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36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2. </w:t>
                </w:r>
                <w:r w:rsidR="00670F98">
                  <w:rPr>
                    <w:rFonts w:cstheme="minorHAnsi"/>
                    <w:bCs/>
                  </w:rPr>
                  <w:t xml:space="preserve"> </w:t>
                </w:r>
                <w:r w:rsidR="00670F98" w:rsidRPr="004D2D2F">
                  <w:rPr>
                    <w:rFonts w:cstheme="minorHAnsi"/>
                    <w:bCs/>
                  </w:rPr>
                  <w:t>Invite providers to participate in the Alameda County Re-Entry Education Network; create Network website; hold annual or semi-annual network meetings; strategize and implement best practices and a program referral system to support participants between network providers</w:t>
                </w:r>
              </w:p>
              <w:p w14:paraId="63C02BBA" w14:textId="77777777" w:rsidR="001471B7" w:rsidRDefault="00670F98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45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a) </w:t>
                </w:r>
                <w:r w:rsidRPr="004D2D2F">
                  <w:rPr>
                    <w:rFonts w:cstheme="minorHAnsi"/>
                  </w:rPr>
                  <w:t xml:space="preserve">Develop clear career opportunity pathways for Education Network participants </w:t>
                </w:r>
                <w:r w:rsidR="001471B7">
                  <w:rPr>
                    <w:rFonts w:cstheme="minorHAnsi"/>
                  </w:rPr>
                  <w:t xml:space="preserve">    </w:t>
                </w:r>
              </w:p>
              <w:p w14:paraId="73E78A05" w14:textId="06D30342" w:rsidR="00670F98" w:rsidRDefault="001471B7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45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</w:t>
                </w:r>
                <w:r w:rsidR="00670F98" w:rsidRPr="004D2D2F">
                  <w:rPr>
                    <w:rFonts w:cstheme="minorHAnsi"/>
                  </w:rPr>
                  <w:t xml:space="preserve">within one year of plan implementation </w:t>
                </w:r>
              </w:p>
              <w:p w14:paraId="7F204FD4" w14:textId="3B5DCB56" w:rsidR="00670F98" w:rsidRDefault="00670F98" w:rsidP="001471B7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45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b)</w:t>
                </w:r>
                <w:r w:rsidR="009340FD">
                  <w:rPr>
                    <w:rFonts w:cstheme="minorHAnsi"/>
                  </w:rPr>
                  <w:t xml:space="preserve"> </w:t>
                </w:r>
                <w:r w:rsidRPr="004D2D2F">
                  <w:rPr>
                    <w:rFonts w:cstheme="minorHAnsi"/>
                  </w:rPr>
                  <w:t>Develop viable pathways for individuals with felony records</w:t>
                </w:r>
              </w:p>
              <w:p w14:paraId="184E8214" w14:textId="77777777" w:rsidR="00080723" w:rsidRDefault="00080723" w:rsidP="00670F98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rPr>
                    <w:rFonts w:cstheme="minorHAnsi"/>
                  </w:rPr>
                </w:pPr>
              </w:p>
              <w:p w14:paraId="4D6FC3C4" w14:textId="16E0F8F5" w:rsidR="00242E10" w:rsidRDefault="00670F98" w:rsidP="000C4903">
                <w:pPr>
                  <w:widowControl w:val="0"/>
                  <w:tabs>
                    <w:tab w:val="left" w:pos="90"/>
                  </w:tabs>
                  <w:ind w:left="720" w:hanging="360"/>
                  <w:rPr>
                    <w:rFonts w:cstheme="minorHAnsi"/>
                    <w:bCs/>
                  </w:rPr>
                </w:pPr>
                <w:r w:rsidRPr="004D2D2F">
                  <w:rPr>
                    <w:rFonts w:cstheme="minorHAnsi"/>
                    <w:bCs/>
                  </w:rPr>
                  <w:t xml:space="preserve"> </w:t>
                </w:r>
                <w:r w:rsidR="007F5BDA">
                  <w:rPr>
                    <w:rFonts w:cstheme="minorHAnsi"/>
                    <w:bCs/>
                  </w:rPr>
                  <w:t xml:space="preserve">3. </w:t>
                </w:r>
                <w:r w:rsidRPr="004D2D2F">
                  <w:rPr>
                    <w:rFonts w:cstheme="minorHAnsi"/>
                    <w:bCs/>
                  </w:rPr>
                  <w:t>Increase the number of participants utilizing educational services in county facilities to 15% within one year of plan implementation (current percent or number of participants annually is approximately 10%)</w:t>
                </w:r>
              </w:p>
              <w:p w14:paraId="4FBB919D" w14:textId="77777777" w:rsidR="00080723" w:rsidRPr="00242E10" w:rsidRDefault="00080723" w:rsidP="00670F98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rPr>
                    <w:rFonts w:cstheme="minorHAnsi"/>
                    <w:bCs/>
                  </w:rPr>
                </w:pPr>
              </w:p>
              <w:p w14:paraId="186E3843" w14:textId="7AA027FF" w:rsidR="00242E10" w:rsidRDefault="007F5BDA" w:rsidP="00242E10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36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4. </w:t>
                </w:r>
                <w:r w:rsidRPr="00CE6606">
                  <w:rPr>
                    <w:rFonts w:cstheme="minorHAnsi"/>
                    <w:bCs/>
                  </w:rPr>
                  <w:t>Conduct in-custody math, English, and career interest assessments to determine appropriate educational services, both in-custody and post-release</w:t>
                </w:r>
              </w:p>
              <w:p w14:paraId="6D2B595F" w14:textId="77777777" w:rsidR="001471B7" w:rsidRPr="00242E10" w:rsidRDefault="001471B7" w:rsidP="00242E10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360"/>
                  <w:rPr>
                    <w:rFonts w:cstheme="minorHAnsi"/>
                    <w:bCs/>
                  </w:rPr>
                </w:pPr>
              </w:p>
              <w:p w14:paraId="20615819" w14:textId="3310758B" w:rsidR="007F5BDA" w:rsidRDefault="007F5BDA" w:rsidP="000C4903">
                <w:pPr>
                  <w:widowControl w:val="0"/>
                  <w:ind w:left="720" w:hanging="36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5. </w:t>
                </w:r>
                <w:r w:rsidRPr="00B241C9">
                  <w:rPr>
                    <w:rFonts w:cstheme="minorHAnsi"/>
                    <w:bCs/>
                  </w:rPr>
                  <w:t>Add education performance measures to contracts between providers and Alameda County Probation Department,</w:t>
                </w:r>
                <w:r w:rsidRPr="00B241C9">
                  <w:rPr>
                    <w:rFonts w:ascii="Calibri" w:hAnsi="Calibri" w:cs="Calibri"/>
                    <w:bCs/>
                  </w:rPr>
                  <w:t xml:space="preserve"> </w:t>
                </w:r>
                <w:r w:rsidRPr="007F5BDA">
                  <w:rPr>
                    <w:rFonts w:asciiTheme="majorHAnsi" w:hAnsiTheme="majorHAnsi" w:cs="Calibri"/>
                    <w:bCs/>
                  </w:rPr>
                  <w:t xml:space="preserve">Oakland Unite, </w:t>
                </w:r>
                <w:proofErr w:type="spellStart"/>
                <w:r w:rsidRPr="007F5BDA">
                  <w:rPr>
                    <w:rFonts w:asciiTheme="majorHAnsi" w:hAnsiTheme="majorHAnsi" w:cs="Calibri"/>
                    <w:bCs/>
                  </w:rPr>
                  <w:t>CDCR</w:t>
                </w:r>
                <w:proofErr w:type="spellEnd"/>
                <w:r w:rsidRPr="007F5BDA">
                  <w:rPr>
                    <w:rFonts w:asciiTheme="majorHAnsi" w:hAnsiTheme="majorHAnsi" w:cs="Calibri"/>
                    <w:bCs/>
                  </w:rPr>
                  <w:t xml:space="preserve"> and </w:t>
                </w:r>
                <w:proofErr w:type="spellStart"/>
                <w:r w:rsidRPr="007F5BDA">
                  <w:rPr>
                    <w:rFonts w:asciiTheme="majorHAnsi" w:hAnsiTheme="majorHAnsi" w:cs="Calibri"/>
                    <w:bCs/>
                  </w:rPr>
                  <w:t>ACSO</w:t>
                </w:r>
                <w:proofErr w:type="spellEnd"/>
                <w:r w:rsidRPr="00B241C9">
                  <w:rPr>
                    <w:rFonts w:cstheme="minorHAnsi"/>
                    <w:bCs/>
                  </w:rPr>
                  <w:t xml:space="preserve"> </w:t>
                </w:r>
              </w:p>
              <w:p w14:paraId="197A1BDB" w14:textId="77777777" w:rsidR="001471B7" w:rsidRDefault="001471B7" w:rsidP="000C4903">
                <w:pPr>
                  <w:widowControl w:val="0"/>
                  <w:ind w:left="720" w:hanging="360"/>
                  <w:rPr>
                    <w:rFonts w:cstheme="minorHAnsi"/>
                    <w:bCs/>
                  </w:rPr>
                </w:pPr>
              </w:p>
              <w:p w14:paraId="3B5CAA3F" w14:textId="63A56BDC" w:rsidR="007F5BDA" w:rsidRPr="00B241C9" w:rsidRDefault="007F5BDA" w:rsidP="000C4903">
                <w:pPr>
                  <w:widowControl w:val="0"/>
                  <w:tabs>
                    <w:tab w:val="left" w:pos="90"/>
                  </w:tabs>
                  <w:ind w:left="720" w:hanging="36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6. </w:t>
                </w:r>
                <w:r w:rsidRPr="00B241C9">
                  <w:rPr>
                    <w:rFonts w:cstheme="minorHAnsi"/>
                    <w:bCs/>
                  </w:rPr>
                  <w:t>Expand current inmate intake process to include education and employment history to create a population baseline</w:t>
                </w:r>
              </w:p>
              <w:p w14:paraId="2E598D0C" w14:textId="77777777" w:rsidR="001471B7" w:rsidRDefault="007F5BDA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(a) </w:t>
                </w:r>
                <w:r w:rsidRPr="00B241C9">
                  <w:rPr>
                    <w:rFonts w:cstheme="minorHAnsi"/>
                  </w:rPr>
                  <w:t>Develop holistic pre-release case management plans incorporating education,</w:t>
                </w:r>
              </w:p>
              <w:p w14:paraId="1288BDE9" w14:textId="738F8DB6" w:rsidR="00242E10" w:rsidRDefault="001471B7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  <w:r w:rsidR="007F5BDA" w:rsidRPr="00B241C9">
                  <w:rPr>
                    <w:rFonts w:cstheme="minorHAnsi"/>
                  </w:rPr>
                  <w:t xml:space="preserve"> employment, health services, social services, and housing</w:t>
                </w:r>
              </w:p>
              <w:p w14:paraId="591BEA81" w14:textId="77777777" w:rsidR="001471B7" w:rsidRDefault="007F5BDA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(b) </w:t>
                </w:r>
                <w:r w:rsidRPr="00B241C9">
                  <w:rPr>
                    <w:rFonts w:cstheme="minorHAnsi"/>
                  </w:rPr>
                  <w:t>Ensure that target population leaves custody with a realistic case management</w:t>
                </w:r>
              </w:p>
              <w:p w14:paraId="073235B5" w14:textId="049F25A6" w:rsidR="007F5BDA" w:rsidRDefault="001471B7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  <w:r w:rsidR="007F5BDA" w:rsidRPr="00B241C9">
                  <w:rPr>
                    <w:rFonts w:cstheme="minorHAnsi"/>
                  </w:rPr>
                  <w:t xml:space="preserve"> plan based on a </w:t>
                </w:r>
                <w:proofErr w:type="gramStart"/>
                <w:r w:rsidR="007F5BDA" w:rsidRPr="00B241C9">
                  <w:rPr>
                    <w:rFonts w:cstheme="minorHAnsi"/>
                  </w:rPr>
                  <w:t>needs</w:t>
                </w:r>
                <w:proofErr w:type="gramEnd"/>
                <w:r w:rsidR="007F5BDA" w:rsidRPr="00B241C9">
                  <w:rPr>
                    <w:rFonts w:cstheme="minorHAnsi"/>
                  </w:rPr>
                  <w:t xml:space="preserve"> assessment</w:t>
                </w:r>
              </w:p>
              <w:p w14:paraId="0B5CA9D4" w14:textId="77777777" w:rsidR="001471B7" w:rsidRDefault="001471B7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</w:rPr>
                </w:pPr>
              </w:p>
              <w:p w14:paraId="3BA597ED" w14:textId="7CEBE3A2" w:rsidR="007F5BDA" w:rsidRDefault="007F5BDA" w:rsidP="000C4903">
                <w:pPr>
                  <w:widowControl w:val="0"/>
                  <w:tabs>
                    <w:tab w:val="left" w:pos="90"/>
                  </w:tabs>
                  <w:ind w:left="630" w:hanging="27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7. </w:t>
                </w:r>
                <w:r w:rsidRPr="00B241C9">
                  <w:rPr>
                    <w:rFonts w:cstheme="minorHAnsi"/>
                    <w:bCs/>
                  </w:rPr>
                  <w:t>Develop marketing campaign for the target population in-custody and in the community for educational network and opportunities</w:t>
                </w:r>
              </w:p>
              <w:p w14:paraId="0088B1D8" w14:textId="77777777" w:rsidR="001471B7" w:rsidRDefault="001471B7" w:rsidP="000C4903">
                <w:pPr>
                  <w:widowControl w:val="0"/>
                  <w:tabs>
                    <w:tab w:val="left" w:pos="90"/>
                  </w:tabs>
                  <w:ind w:left="630" w:hanging="270"/>
                  <w:rPr>
                    <w:rFonts w:cstheme="minorHAnsi"/>
                    <w:bCs/>
                  </w:rPr>
                </w:pPr>
              </w:p>
              <w:p w14:paraId="25A7202B" w14:textId="17D4BC5C" w:rsidR="00080723" w:rsidRDefault="00080723" w:rsidP="000C4903">
                <w:pPr>
                  <w:widowControl w:val="0"/>
                  <w:tabs>
                    <w:tab w:val="left" w:pos="90"/>
                  </w:tabs>
                  <w:ind w:left="720" w:hanging="360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8. </w:t>
                </w:r>
                <w:r w:rsidRPr="00425FA2">
                  <w:rPr>
                    <w:rFonts w:cstheme="minorHAnsi"/>
                    <w:bCs/>
                  </w:rPr>
                  <w:t xml:space="preserve">Develop and execute an annual policy agenda that addresses </w:t>
                </w:r>
                <w:r w:rsidRPr="008751BE">
                  <w:rPr>
                    <w:rFonts w:cstheme="minorHAnsi"/>
                    <w:bCs/>
                  </w:rPr>
                  <w:t xml:space="preserve">barriers </w:t>
                </w:r>
                <w:r w:rsidRPr="00425FA2">
                  <w:rPr>
                    <w:rFonts w:cstheme="minorHAnsi"/>
                    <w:bCs/>
                  </w:rPr>
                  <w:t>to educational attainment and success</w:t>
                </w:r>
                <w:r>
                  <w:rPr>
                    <w:rFonts w:cstheme="minorHAnsi"/>
                    <w:bCs/>
                  </w:rPr>
                  <w:t>, i</w:t>
                </w:r>
                <w:r w:rsidRPr="00602C1C">
                  <w:rPr>
                    <w:rFonts w:cstheme="minorHAnsi"/>
                    <w:bCs/>
                  </w:rPr>
                  <w:t>ncluding</w:t>
                </w:r>
                <w:r>
                  <w:rPr>
                    <w:rFonts w:cstheme="minorHAnsi"/>
                    <w:bCs/>
                  </w:rPr>
                  <w:t>,</w:t>
                </w:r>
                <w:r w:rsidRPr="00080723">
                  <w:rPr>
                    <w:rFonts w:cstheme="minorHAnsi"/>
                    <w:bCs/>
                  </w:rPr>
                  <w:t xml:space="preserve"> but not limited to:</w:t>
                </w:r>
              </w:p>
              <w:p w14:paraId="1CA309F5" w14:textId="77777777" w:rsidR="00A062D0" w:rsidRDefault="00080723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cstheme="minorHAnsi"/>
                    <w:iCs/>
                  </w:rPr>
                </w:pPr>
                <w:r>
                  <w:rPr>
                    <w:rFonts w:cstheme="minorHAnsi"/>
                    <w:iCs/>
                  </w:rPr>
                  <w:t xml:space="preserve">(a) </w:t>
                </w:r>
                <w:r w:rsidR="007F5BDA" w:rsidRPr="00080723">
                  <w:rPr>
                    <w:rFonts w:cstheme="minorHAnsi"/>
                    <w:iCs/>
                  </w:rPr>
                  <w:t xml:space="preserve">Lack of access to online educational resources for the incarcerated target </w:t>
                </w:r>
              </w:p>
              <w:p w14:paraId="581C60B9" w14:textId="77777777" w:rsidR="00A062D0" w:rsidRDefault="00A062D0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asciiTheme="majorHAnsi" w:hAnsiTheme="majorHAnsi" w:cs="Calibri"/>
                    <w:iCs/>
                  </w:rPr>
                </w:pPr>
                <w:r>
                  <w:rPr>
                    <w:rFonts w:cstheme="minorHAnsi"/>
                    <w:iCs/>
                  </w:rPr>
                  <w:t xml:space="preserve">      </w:t>
                </w:r>
                <w:r w:rsidR="007F5BDA" w:rsidRPr="00080723">
                  <w:rPr>
                    <w:rFonts w:cstheme="minorHAnsi"/>
                    <w:iCs/>
                  </w:rPr>
                  <w:t xml:space="preserve">population </w:t>
                </w:r>
                <w:r w:rsidR="007F5BDA" w:rsidRPr="00080723">
                  <w:rPr>
                    <w:rFonts w:asciiTheme="majorHAnsi" w:hAnsiTheme="majorHAnsi" w:cs="Calibri"/>
                    <w:iCs/>
                  </w:rPr>
                  <w:t>&amp; the skill set to use computers</w:t>
                </w:r>
                <w:r w:rsidR="00080723">
                  <w:rPr>
                    <w:rFonts w:asciiTheme="majorHAnsi" w:hAnsiTheme="majorHAnsi" w:cs="Calibri"/>
                    <w:iCs/>
                  </w:rPr>
                  <w:t xml:space="preserve">; </w:t>
                </w:r>
                <w:r w:rsidR="007F5BDA" w:rsidRPr="00080723">
                  <w:rPr>
                    <w:rFonts w:asciiTheme="majorHAnsi" w:hAnsiTheme="majorHAnsi" w:cs="Calibri"/>
                    <w:iCs/>
                  </w:rPr>
                  <w:t>the lack of computers &amp; internet</w:t>
                </w:r>
                <w:r w:rsidR="00080723">
                  <w:rPr>
                    <w:rFonts w:asciiTheme="majorHAnsi" w:hAnsiTheme="majorHAnsi" w:cs="Calibri"/>
                    <w:iCs/>
                  </w:rPr>
                  <w:t>,</w:t>
                </w:r>
                <w:r w:rsidR="007F5BDA" w:rsidRPr="00080723">
                  <w:rPr>
                    <w:rFonts w:asciiTheme="majorHAnsi" w:hAnsiTheme="majorHAnsi" w:cs="Calibri"/>
                    <w:iCs/>
                  </w:rPr>
                  <w:t xml:space="preserve"> </w:t>
                </w:r>
              </w:p>
              <w:p w14:paraId="6A812980" w14:textId="16AEDD74" w:rsidR="007F5BDA" w:rsidRDefault="00A062D0" w:rsidP="000C4903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asciiTheme="majorHAnsi" w:hAnsiTheme="majorHAnsi" w:cs="Calibri"/>
                    <w:iCs/>
                  </w:rPr>
                </w:pPr>
                <w:r>
                  <w:rPr>
                    <w:rFonts w:asciiTheme="majorHAnsi" w:hAnsiTheme="majorHAnsi" w:cs="Calibri"/>
                    <w:iCs/>
                  </w:rPr>
                  <w:t xml:space="preserve">      </w:t>
                </w:r>
                <w:r w:rsidR="007F5BDA" w:rsidRPr="00080723">
                  <w:rPr>
                    <w:rFonts w:asciiTheme="majorHAnsi" w:hAnsiTheme="majorHAnsi" w:cs="Calibri"/>
                    <w:iCs/>
                  </w:rPr>
                  <w:t>especially when incarcerated</w:t>
                </w:r>
              </w:p>
              <w:p w14:paraId="226EF79A" w14:textId="171B65D7" w:rsidR="00080723" w:rsidRDefault="00080723" w:rsidP="001471B7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asciiTheme="majorHAnsi" w:hAnsiTheme="majorHAnsi" w:cs="Calibri"/>
                    <w:iCs/>
                  </w:rPr>
                </w:pPr>
                <w:r>
                  <w:rPr>
                    <w:rFonts w:asciiTheme="majorHAnsi" w:hAnsiTheme="majorHAnsi" w:cs="Calibri"/>
                    <w:iCs/>
                  </w:rPr>
                  <w:t xml:space="preserve">(b) </w:t>
                </w:r>
                <w:r w:rsidRPr="00080723">
                  <w:rPr>
                    <w:rFonts w:asciiTheme="majorHAnsi" w:hAnsiTheme="majorHAnsi" w:cs="Calibri"/>
                    <w:iCs/>
                  </w:rPr>
                  <w:t>Data to improve practice (What’s Working)</w:t>
                </w:r>
              </w:p>
              <w:p w14:paraId="111EAFB1" w14:textId="77777777" w:rsidR="001471B7" w:rsidRDefault="001471B7" w:rsidP="001471B7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540"/>
                  <w:rPr>
                    <w:rFonts w:asciiTheme="majorHAnsi" w:hAnsiTheme="majorHAnsi" w:cs="Calibri"/>
                    <w:iCs/>
                  </w:rPr>
                </w:pPr>
              </w:p>
              <w:p w14:paraId="3B9138D7" w14:textId="09261466" w:rsidR="001471B7" w:rsidRPr="001471B7" w:rsidRDefault="001471B7" w:rsidP="001471B7">
                <w:pPr>
                  <w:pStyle w:val="ListParagraph"/>
                  <w:widowControl w:val="0"/>
                  <w:numPr>
                    <w:ilvl w:val="0"/>
                    <w:numId w:val="16"/>
                  </w:numPr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rPr>
                    <w:rFonts w:asciiTheme="majorHAnsi" w:hAnsiTheme="majorHAnsi" w:cs="Calibri"/>
                    <w:bCs/>
                  </w:rPr>
                </w:pPr>
                <w:r w:rsidRPr="001471B7">
                  <w:rPr>
                    <w:rFonts w:asciiTheme="majorHAnsi" w:hAnsiTheme="majorHAnsi" w:cs="Calibri"/>
                    <w:bCs/>
                  </w:rPr>
                  <w:t xml:space="preserve">Prioritize the needs of </w:t>
                </w:r>
                <w:r w:rsidRPr="001471B7">
                  <w:rPr>
                    <w:rFonts w:asciiTheme="majorHAnsi" w:hAnsiTheme="majorHAnsi" w:cs="Calibri"/>
                    <w:bCs/>
                  </w:rPr>
                  <w:t xml:space="preserve">the reentry population </w:t>
                </w:r>
                <w:r w:rsidRPr="001471B7">
                  <w:rPr>
                    <w:rFonts w:asciiTheme="majorHAnsi" w:hAnsiTheme="majorHAnsi" w:cs="Calibri"/>
                    <w:bCs/>
                  </w:rPr>
                  <w:t>in education</w:t>
                </w:r>
              </w:p>
              <w:p w14:paraId="767F3520" w14:textId="77777777" w:rsidR="001471B7" w:rsidRPr="001471B7" w:rsidRDefault="001471B7" w:rsidP="001471B7">
                <w:pPr>
                  <w:widowControl w:val="0"/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ind w:left="360"/>
                  <w:rPr>
                    <w:rFonts w:asciiTheme="majorHAnsi" w:hAnsiTheme="majorHAnsi" w:cs="Calibri"/>
                    <w:bCs/>
                  </w:rPr>
                </w:pPr>
              </w:p>
              <w:p w14:paraId="3F7B96DA" w14:textId="75208468" w:rsidR="001471B7" w:rsidRPr="001471B7" w:rsidRDefault="001471B7" w:rsidP="001471B7">
                <w:pPr>
                  <w:pStyle w:val="ListParagraph"/>
                  <w:widowControl w:val="0"/>
                  <w:numPr>
                    <w:ilvl w:val="0"/>
                    <w:numId w:val="16"/>
                  </w:numPr>
                  <w:tabs>
                    <w:tab w:val="left" w:pos="90"/>
                    <w:tab w:val="left" w:pos="360"/>
                    <w:tab w:val="left" w:pos="450"/>
                    <w:tab w:val="left" w:pos="540"/>
                  </w:tabs>
                  <w:rPr>
                    <w:rFonts w:asciiTheme="majorHAnsi" w:hAnsiTheme="majorHAnsi" w:cs="Calibri"/>
                    <w:bCs/>
                  </w:rPr>
                </w:pPr>
                <w:r>
                  <w:rPr>
                    <w:rFonts w:asciiTheme="majorHAnsi" w:hAnsiTheme="majorHAnsi" w:cs="Calibri"/>
                    <w:bCs/>
                  </w:rPr>
                  <w:t xml:space="preserve"> </w:t>
                </w:r>
                <w:r w:rsidRPr="001471B7">
                  <w:rPr>
                    <w:rFonts w:asciiTheme="majorHAnsi" w:hAnsiTheme="majorHAnsi" w:cs="Calibri"/>
                    <w:bCs/>
                  </w:rPr>
                  <w:t xml:space="preserve">Develop education services for Transition-Age Youth </w:t>
                </w:r>
              </w:p>
              <w:p w14:paraId="738FC13C" w14:textId="77777777" w:rsidR="001471B7" w:rsidRPr="001471B7" w:rsidRDefault="001471B7" w:rsidP="001471B7">
                <w:pPr>
                  <w:pStyle w:val="ListParagraph"/>
                  <w:rPr>
                    <w:rFonts w:asciiTheme="majorHAnsi" w:hAnsiTheme="majorHAnsi" w:cs="Calibri"/>
                    <w:bCs/>
                  </w:rPr>
                </w:pPr>
              </w:p>
              <w:p w14:paraId="3776A724" w14:textId="77777777" w:rsidR="00A062D0" w:rsidRDefault="001471B7" w:rsidP="001471B7">
                <w:pPr>
                  <w:widowControl w:val="0"/>
                  <w:ind w:left="630" w:hanging="270"/>
                  <w:rPr>
                    <w:rFonts w:asciiTheme="majorHAnsi" w:hAnsiTheme="majorHAnsi" w:cs="Calibri"/>
                    <w:bCs/>
                  </w:rPr>
                </w:pPr>
                <w:r>
                  <w:rPr>
                    <w:rFonts w:asciiTheme="majorHAnsi" w:hAnsiTheme="majorHAnsi" w:cs="Calibri"/>
                    <w:bCs/>
                  </w:rPr>
                  <w:t>11.</w:t>
                </w:r>
                <w:r>
                  <w:rPr>
                    <w:rFonts w:ascii="Calibri" w:hAnsi="Calibri" w:cs="Calibri"/>
                    <w:bCs/>
                    <w:color w:val="0070C0"/>
                  </w:rPr>
                  <w:t xml:space="preserve">   </w:t>
                </w:r>
                <w:r w:rsidRPr="001471B7">
                  <w:rPr>
                    <w:rFonts w:asciiTheme="majorHAnsi" w:hAnsiTheme="majorHAnsi" w:cs="Calibri"/>
                    <w:bCs/>
                  </w:rPr>
                  <w:t xml:space="preserve">CBO’s to refer target population to college programs specific for the reentry </w:t>
                </w:r>
                <w:r>
                  <w:rPr>
                    <w:rFonts w:asciiTheme="majorHAnsi" w:hAnsiTheme="majorHAnsi" w:cs="Calibri"/>
                    <w:bCs/>
                  </w:rPr>
                  <w:t xml:space="preserve">     </w:t>
                </w:r>
              </w:p>
              <w:p w14:paraId="3E79F17D" w14:textId="420D5747" w:rsidR="004205A5" w:rsidRPr="00332F52" w:rsidRDefault="0079762C" w:rsidP="0079762C">
                <w:pPr>
                  <w:widowControl w:val="0"/>
                  <w:ind w:left="630" w:hanging="270"/>
                </w:pPr>
                <w:r>
                  <w:rPr>
                    <w:rFonts w:asciiTheme="majorHAnsi" w:hAnsiTheme="majorHAnsi" w:cs="Calibri"/>
                    <w:bCs/>
                  </w:rPr>
                  <w:t xml:space="preserve">        </w:t>
                </w:r>
                <w:bookmarkStart w:id="1" w:name="_GoBack"/>
                <w:bookmarkEnd w:id="1"/>
                <w:r>
                  <w:rPr>
                    <w:rFonts w:asciiTheme="majorHAnsi" w:hAnsiTheme="majorHAnsi" w:cs="Calibri"/>
                    <w:bCs/>
                  </w:rPr>
                  <w:t>popul</w:t>
                </w:r>
                <w:r w:rsidR="001471B7" w:rsidRPr="001471B7">
                  <w:rPr>
                    <w:rFonts w:asciiTheme="majorHAnsi" w:hAnsiTheme="majorHAnsi" w:cs="Calibri"/>
                    <w:bCs/>
                  </w:rPr>
                  <w:t xml:space="preserve">ation.  </w:t>
                </w:r>
                <w:r w:rsidR="005D2CF8">
                  <w:t xml:space="preserve">                                     </w:t>
                </w:r>
              </w:p>
            </w:sdtContent>
          </w:sdt>
        </w:tc>
      </w:tr>
      <w:tr w:rsidR="00183103" w:rsidRPr="00A62AD4" w14:paraId="7FAEDBA2" w14:textId="77777777" w:rsidTr="00C04D3E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2D8FC615" w14:textId="77777777" w:rsidR="00183103" w:rsidRDefault="00183103" w:rsidP="008F6297"/>
        </w:tc>
      </w:tr>
      <w:bookmarkEnd w:id="0"/>
    </w:tbl>
    <w:p w14:paraId="7F7DA15F" w14:textId="13FECA9F" w:rsidR="00A62AD4" w:rsidRPr="00A62AD4" w:rsidRDefault="00A62AD4" w:rsidP="008F6297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6B0C" w14:textId="77777777" w:rsidR="007E1151" w:rsidRDefault="007E1151">
      <w:pPr>
        <w:spacing w:after="0" w:line="240" w:lineRule="auto"/>
      </w:pPr>
      <w:r>
        <w:separator/>
      </w:r>
    </w:p>
  </w:endnote>
  <w:endnote w:type="continuationSeparator" w:id="0">
    <w:p w14:paraId="01C35C87" w14:textId="77777777" w:rsidR="007E1151" w:rsidRDefault="007E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6C33" w14:textId="77777777" w:rsidR="007E1151" w:rsidRDefault="007E1151">
      <w:pPr>
        <w:spacing w:after="0" w:line="240" w:lineRule="auto"/>
      </w:pPr>
      <w:r>
        <w:separator/>
      </w:r>
    </w:p>
  </w:footnote>
  <w:footnote w:type="continuationSeparator" w:id="0">
    <w:p w14:paraId="288093CD" w14:textId="77777777" w:rsidR="007E1151" w:rsidRDefault="007E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D4CF0"/>
    <w:multiLevelType w:val="hybridMultilevel"/>
    <w:tmpl w:val="B5D8B492"/>
    <w:lvl w:ilvl="0" w:tplc="0EF4015E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BF0"/>
    <w:multiLevelType w:val="hybridMultilevel"/>
    <w:tmpl w:val="BAB09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C4D72"/>
    <w:multiLevelType w:val="hybridMultilevel"/>
    <w:tmpl w:val="8646B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69D"/>
    <w:multiLevelType w:val="hybridMultilevel"/>
    <w:tmpl w:val="F05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3398"/>
    <w:multiLevelType w:val="hybridMultilevel"/>
    <w:tmpl w:val="189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D6D7C"/>
    <w:multiLevelType w:val="hybridMultilevel"/>
    <w:tmpl w:val="33D4B868"/>
    <w:lvl w:ilvl="0" w:tplc="24CC2A9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77078"/>
    <w:multiLevelType w:val="hybridMultilevel"/>
    <w:tmpl w:val="8AEA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351C0"/>
    <w:rsid w:val="00080723"/>
    <w:rsid w:val="000C4903"/>
    <w:rsid w:val="001471B7"/>
    <w:rsid w:val="001635C3"/>
    <w:rsid w:val="00183103"/>
    <w:rsid w:val="00190FFE"/>
    <w:rsid w:val="00212FC8"/>
    <w:rsid w:val="00242E10"/>
    <w:rsid w:val="002519A9"/>
    <w:rsid w:val="00260FF9"/>
    <w:rsid w:val="00284E49"/>
    <w:rsid w:val="002A752A"/>
    <w:rsid w:val="00332F52"/>
    <w:rsid w:val="003640D2"/>
    <w:rsid w:val="00373061"/>
    <w:rsid w:val="0039607E"/>
    <w:rsid w:val="003A1681"/>
    <w:rsid w:val="003F34EC"/>
    <w:rsid w:val="004205A5"/>
    <w:rsid w:val="00427E8D"/>
    <w:rsid w:val="004A152B"/>
    <w:rsid w:val="004F2813"/>
    <w:rsid w:val="00547B35"/>
    <w:rsid w:val="005666B7"/>
    <w:rsid w:val="00597246"/>
    <w:rsid w:val="005D2CF8"/>
    <w:rsid w:val="00604635"/>
    <w:rsid w:val="00661932"/>
    <w:rsid w:val="00670F98"/>
    <w:rsid w:val="007804E5"/>
    <w:rsid w:val="00791271"/>
    <w:rsid w:val="0079762C"/>
    <w:rsid w:val="007B5A8D"/>
    <w:rsid w:val="007E1151"/>
    <w:rsid w:val="007E689D"/>
    <w:rsid w:val="007F5BDA"/>
    <w:rsid w:val="00840850"/>
    <w:rsid w:val="008D5551"/>
    <w:rsid w:val="008D799B"/>
    <w:rsid w:val="008F6297"/>
    <w:rsid w:val="009340FD"/>
    <w:rsid w:val="00A062D0"/>
    <w:rsid w:val="00A62AD4"/>
    <w:rsid w:val="00A62DE4"/>
    <w:rsid w:val="00A63E63"/>
    <w:rsid w:val="00A83F67"/>
    <w:rsid w:val="00AC1590"/>
    <w:rsid w:val="00B049A7"/>
    <w:rsid w:val="00B17A07"/>
    <w:rsid w:val="00B862AA"/>
    <w:rsid w:val="00BA21E7"/>
    <w:rsid w:val="00BE35DB"/>
    <w:rsid w:val="00C01148"/>
    <w:rsid w:val="00C04D3E"/>
    <w:rsid w:val="00C73579"/>
    <w:rsid w:val="00C846F3"/>
    <w:rsid w:val="00D91B70"/>
    <w:rsid w:val="00DB195B"/>
    <w:rsid w:val="00DD1242"/>
    <w:rsid w:val="00E27C48"/>
    <w:rsid w:val="00E85770"/>
    <w:rsid w:val="00E87489"/>
    <w:rsid w:val="00F176B5"/>
    <w:rsid w:val="00F73772"/>
    <w:rsid w:val="00FA5A23"/>
    <w:rsid w:val="00FC5458"/>
    <w:rsid w:val="00FC645A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E"/>
    <w:rsid w:val="002D15D8"/>
    <w:rsid w:val="0037315E"/>
    <w:rsid w:val="005F7462"/>
    <w:rsid w:val="007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5F7462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B7AD-2D11-4E37-B9D3-C527C21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63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Crosby, Neola, Probation</cp:lastModifiedBy>
  <cp:revision>11</cp:revision>
  <dcterms:created xsi:type="dcterms:W3CDTF">2019-01-26T01:04:00Z</dcterms:created>
  <dcterms:modified xsi:type="dcterms:W3CDTF">2019-01-30T01:57:00Z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