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3EDED" w14:textId="77777777" w:rsidR="004D242F" w:rsidRDefault="004D242F" w:rsidP="004D242F">
      <w:pPr>
        <w:pStyle w:val="Title"/>
        <w:rPr>
          <w:rFonts w:ascii="Calibri" w:hAnsi="Calibri" w:cs="Calibri"/>
          <w:sz w:val="24"/>
          <w:szCs w:val="24"/>
        </w:rPr>
      </w:pPr>
      <w:bookmarkStart w:id="0" w:name="_GoBack"/>
      <w:bookmarkEnd w:id="0"/>
    </w:p>
    <w:p w14:paraId="341B8A7E" w14:textId="77777777" w:rsidR="004D242F" w:rsidRPr="002041C1" w:rsidRDefault="004D242F" w:rsidP="004D242F">
      <w:pPr>
        <w:pStyle w:val="Title"/>
        <w:rPr>
          <w:rFonts w:ascii="Calibri" w:hAnsi="Calibri" w:cs="Calibri"/>
          <w:sz w:val="24"/>
          <w:szCs w:val="24"/>
        </w:rPr>
      </w:pPr>
    </w:p>
    <w:p w14:paraId="1F9CE51C"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610E14C6" w14:textId="77777777" w:rsidR="004D242F" w:rsidRPr="00985AE1" w:rsidRDefault="004D242F" w:rsidP="004D242F">
      <w:pPr>
        <w:pStyle w:val="Title"/>
        <w:rPr>
          <w:rFonts w:ascii="Calibri" w:hAnsi="Calibri" w:cs="Calibri"/>
          <w:sz w:val="20"/>
        </w:rPr>
      </w:pPr>
    </w:p>
    <w:p w14:paraId="743FD335"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4F968BF1" w14:textId="77777777" w:rsidR="004D242F" w:rsidRPr="00A85450" w:rsidRDefault="004D242F" w:rsidP="004D242F">
      <w:pPr>
        <w:pStyle w:val="RFP-QHeader2"/>
        <w:rPr>
          <w:rFonts w:ascii="Calibri" w:hAnsi="Calibri" w:cs="Calibri"/>
          <w:sz w:val="20"/>
        </w:rPr>
      </w:pPr>
    </w:p>
    <w:p w14:paraId="5D8387C6" w14:textId="77777777" w:rsidR="004D242F" w:rsidRPr="00641F2B" w:rsidRDefault="004D242F" w:rsidP="004D242F">
      <w:pPr>
        <w:pStyle w:val="Title"/>
        <w:rPr>
          <w:rFonts w:ascii="Calibri" w:hAnsi="Calibri" w:cs="Calibri"/>
          <w:sz w:val="40"/>
          <w:szCs w:val="40"/>
        </w:rPr>
      </w:pPr>
      <w:r w:rsidRPr="00641F2B">
        <w:rPr>
          <w:rFonts w:ascii="Calibri" w:hAnsi="Calibri" w:cs="Calibri"/>
          <w:sz w:val="40"/>
          <w:szCs w:val="40"/>
        </w:rPr>
        <w:t>to</w:t>
      </w:r>
    </w:p>
    <w:p w14:paraId="19FC8E00" w14:textId="77777777" w:rsidR="004D242F" w:rsidRPr="00641F2B" w:rsidRDefault="004D242F" w:rsidP="004D242F">
      <w:pPr>
        <w:pStyle w:val="RFP-QHeader2"/>
        <w:rPr>
          <w:rFonts w:ascii="Calibri" w:hAnsi="Calibri" w:cs="Calibri"/>
          <w:sz w:val="20"/>
        </w:rPr>
      </w:pPr>
    </w:p>
    <w:p w14:paraId="08E04C07" w14:textId="0E1441A2" w:rsidR="004D242F" w:rsidRPr="00641F2B" w:rsidRDefault="004D242F" w:rsidP="004D242F">
      <w:pPr>
        <w:pStyle w:val="Subtitle"/>
        <w:rPr>
          <w:rFonts w:ascii="Calibri" w:hAnsi="Calibri" w:cs="Calibri"/>
          <w:sz w:val="40"/>
          <w:szCs w:val="40"/>
        </w:rPr>
      </w:pPr>
      <w:r w:rsidRPr="00641F2B">
        <w:rPr>
          <w:rFonts w:ascii="Calibri" w:hAnsi="Calibri" w:cs="Calibri"/>
          <w:sz w:val="40"/>
          <w:szCs w:val="40"/>
        </w:rPr>
        <w:t>RF</w:t>
      </w:r>
      <w:r w:rsidR="00FE5898" w:rsidRPr="00641F2B">
        <w:rPr>
          <w:rFonts w:ascii="Calibri" w:hAnsi="Calibri" w:cs="Calibri"/>
          <w:sz w:val="40"/>
          <w:szCs w:val="40"/>
        </w:rPr>
        <w:t>P</w:t>
      </w:r>
      <w:r w:rsidRPr="00641F2B">
        <w:rPr>
          <w:rFonts w:ascii="Calibri" w:hAnsi="Calibri" w:cs="Calibri"/>
          <w:sz w:val="40"/>
          <w:szCs w:val="40"/>
        </w:rPr>
        <w:t xml:space="preserve"> No. 90</w:t>
      </w:r>
      <w:r w:rsidR="00641F2B" w:rsidRPr="00641F2B">
        <w:rPr>
          <w:rFonts w:ascii="Calibri" w:hAnsi="Calibri" w:cs="Calibri"/>
          <w:sz w:val="40"/>
          <w:szCs w:val="40"/>
        </w:rPr>
        <w:t>1829</w:t>
      </w:r>
    </w:p>
    <w:p w14:paraId="1FD15A99" w14:textId="77777777" w:rsidR="004D242F" w:rsidRPr="00641F2B" w:rsidRDefault="004D242F" w:rsidP="004D242F">
      <w:pPr>
        <w:pStyle w:val="RFP-QHeader2"/>
        <w:rPr>
          <w:rFonts w:ascii="Calibri" w:hAnsi="Calibri" w:cs="Calibri"/>
          <w:sz w:val="20"/>
        </w:rPr>
      </w:pPr>
    </w:p>
    <w:p w14:paraId="3D8D5FF2" w14:textId="77777777" w:rsidR="004D242F" w:rsidRPr="00641F2B" w:rsidRDefault="004D242F" w:rsidP="004D242F">
      <w:pPr>
        <w:pStyle w:val="Heading3"/>
        <w:rPr>
          <w:rFonts w:ascii="Calibri" w:hAnsi="Calibri" w:cs="Calibri"/>
          <w:sz w:val="40"/>
          <w:szCs w:val="40"/>
        </w:rPr>
      </w:pPr>
      <w:r w:rsidRPr="00641F2B">
        <w:rPr>
          <w:rFonts w:ascii="Calibri" w:hAnsi="Calibri" w:cs="Calibri"/>
          <w:sz w:val="40"/>
          <w:szCs w:val="40"/>
        </w:rPr>
        <w:t>for</w:t>
      </w:r>
    </w:p>
    <w:p w14:paraId="73A6A1E0" w14:textId="77777777" w:rsidR="004D242F" w:rsidRPr="00641F2B" w:rsidRDefault="004D242F" w:rsidP="004D242F">
      <w:pPr>
        <w:pStyle w:val="RFP-QHeader2"/>
        <w:rPr>
          <w:rFonts w:ascii="Calibri" w:hAnsi="Calibri" w:cs="Calibri"/>
          <w:sz w:val="20"/>
        </w:rPr>
      </w:pPr>
    </w:p>
    <w:p w14:paraId="5A9CFBD8" w14:textId="48D35140" w:rsidR="004D242F" w:rsidRPr="00641F2B" w:rsidRDefault="00641F2B" w:rsidP="004D242F">
      <w:pPr>
        <w:jc w:val="center"/>
        <w:rPr>
          <w:rFonts w:ascii="Calibri" w:hAnsi="Calibri" w:cs="Calibri"/>
          <w:b/>
          <w:sz w:val="20"/>
        </w:rPr>
      </w:pPr>
      <w:r w:rsidRPr="00641F2B">
        <w:rPr>
          <w:rFonts w:ascii="Calibri" w:hAnsi="Calibri" w:cs="Calibri"/>
          <w:b/>
          <w:sz w:val="40"/>
          <w:szCs w:val="40"/>
        </w:rPr>
        <w:t>Probation Youth Employment Program</w:t>
      </w:r>
    </w:p>
    <w:p w14:paraId="537675D8" w14:textId="77777777" w:rsidR="004D242F" w:rsidRPr="00641F2B" w:rsidRDefault="004D242F" w:rsidP="004D242F">
      <w:pPr>
        <w:jc w:val="center"/>
        <w:rPr>
          <w:rFonts w:ascii="Calibri" w:hAnsi="Calibri" w:cs="Calibri"/>
          <w:b/>
          <w:sz w:val="20"/>
        </w:rPr>
      </w:pPr>
    </w:p>
    <w:p w14:paraId="0293BA49" w14:textId="3E0E6E1B" w:rsidR="004D242F" w:rsidRPr="00641F2B" w:rsidRDefault="004D242F" w:rsidP="004D242F">
      <w:pPr>
        <w:jc w:val="center"/>
        <w:rPr>
          <w:rFonts w:ascii="Calibri" w:hAnsi="Calibri" w:cs="Calibri"/>
          <w:b/>
          <w:sz w:val="28"/>
          <w:szCs w:val="28"/>
        </w:rPr>
      </w:pPr>
      <w:r w:rsidRPr="00641F2B">
        <w:rPr>
          <w:rFonts w:ascii="Calibri" w:hAnsi="Calibri" w:cs="Calibri"/>
          <w:b/>
          <w:sz w:val="28"/>
          <w:szCs w:val="28"/>
        </w:rPr>
        <w:t xml:space="preserve">Networking/Bidders Conferences Held on </w:t>
      </w:r>
      <w:r w:rsidR="00641F2B" w:rsidRPr="00641F2B">
        <w:rPr>
          <w:rFonts w:ascii="Calibri" w:hAnsi="Calibri" w:cs="Calibri"/>
          <w:b/>
          <w:sz w:val="28"/>
          <w:szCs w:val="28"/>
        </w:rPr>
        <w:t>October 7, 2019</w:t>
      </w:r>
    </w:p>
    <w:p w14:paraId="785E3BB0"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66D2BBDB" w14:textId="77777777" w:rsidTr="000E35A2">
        <w:tc>
          <w:tcPr>
            <w:tcW w:w="11016" w:type="dxa"/>
            <w:shd w:val="clear" w:color="auto" w:fill="auto"/>
            <w:tcMar>
              <w:top w:w="43" w:type="dxa"/>
              <w:left w:w="115" w:type="dxa"/>
              <w:bottom w:w="43" w:type="dxa"/>
              <w:right w:w="115" w:type="dxa"/>
            </w:tcMar>
          </w:tcPr>
          <w:p w14:paraId="5224BF7B" w14:textId="4F1D7E43" w:rsidR="004D242F" w:rsidRPr="00641F2B" w:rsidRDefault="004D242F" w:rsidP="00BE58A2">
            <w:pPr>
              <w:jc w:val="both"/>
              <w:rPr>
                <w:rFonts w:ascii="Calibri" w:hAnsi="Calibri" w:cs="Calibri"/>
                <w:bCs/>
                <w:sz w:val="20"/>
              </w:rPr>
            </w:pPr>
            <w:r w:rsidRPr="00641F2B">
              <w:rPr>
                <w:rFonts w:ascii="Calibri" w:hAnsi="Calibri" w:cs="Calibri"/>
                <w:b/>
                <w:sz w:val="28"/>
                <w:szCs w:val="28"/>
              </w:rPr>
              <w:t>This County of Alameda, General Services Agency (GSA), RF</w:t>
            </w:r>
            <w:r w:rsidR="00FE5898" w:rsidRPr="00641F2B">
              <w:rPr>
                <w:rFonts w:ascii="Calibri" w:hAnsi="Calibri" w:cs="Calibri"/>
                <w:b/>
                <w:sz w:val="28"/>
                <w:szCs w:val="28"/>
              </w:rPr>
              <w:t>P</w:t>
            </w:r>
            <w:r w:rsidRPr="00641F2B">
              <w:rPr>
                <w:rFonts w:ascii="Calibri" w:hAnsi="Calibri" w:cs="Calibri"/>
                <w:b/>
                <w:sz w:val="28"/>
                <w:szCs w:val="28"/>
              </w:rPr>
              <w:t xml:space="preserve"> Questions &amp; Answers (Q&amp;A)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RF</w:t>
            </w:r>
            <w:r w:rsidR="00FE5898" w:rsidRPr="00641F2B">
              <w:rPr>
                <w:rFonts w:ascii="Calibri" w:hAnsi="Calibri" w:cs="Calibri"/>
                <w:b/>
                <w:sz w:val="28"/>
                <w:szCs w:val="28"/>
              </w:rPr>
              <w:t>P</w:t>
            </w:r>
            <w:r w:rsidRPr="00641F2B">
              <w:rPr>
                <w:rFonts w:ascii="Calibri" w:hAnsi="Calibri" w:cs="Calibri"/>
                <w:b/>
                <w:sz w:val="28"/>
                <w:szCs w:val="28"/>
              </w:rPr>
              <w:t xml:space="preserve"> Q&amp;A </w:t>
            </w:r>
            <w:r w:rsidRPr="00C367AB">
              <w:rPr>
                <w:rFonts w:ascii="Calibri" w:hAnsi="Calibri" w:cs="Calibri"/>
                <w:b/>
                <w:sz w:val="28"/>
                <w:szCs w:val="28"/>
              </w:rPr>
              <w:t xml:space="preserve">will also be posted on the GSA Contracting Opportunities website located at </w:t>
            </w:r>
            <w:hyperlink r:id="rId11" w:history="1">
              <w:r w:rsidRPr="0021720B">
                <w:rPr>
                  <w:rStyle w:val="Hyperlink"/>
                  <w:rFonts w:ascii="Calibri" w:hAnsi="Calibri" w:cs="Calibri"/>
                  <w:b/>
                  <w:sz w:val="28"/>
                  <w:szCs w:val="28"/>
                </w:rPr>
                <w:t>http://acgov.org/gsa_app/gsa/purchasing/bid_content/contractopportunities.jsp</w:t>
              </w:r>
            </w:hyperlink>
            <w:r w:rsidR="00641F2B" w:rsidRPr="00641F2B">
              <w:rPr>
                <w:rStyle w:val="Hyperlink"/>
                <w:rFonts w:ascii="Calibri" w:hAnsi="Calibri" w:cs="Calibri"/>
                <w:b/>
                <w:color w:val="auto"/>
                <w:sz w:val="28"/>
                <w:szCs w:val="28"/>
                <w:u w:val="none"/>
              </w:rPr>
              <w:t>.</w:t>
            </w:r>
          </w:p>
        </w:tc>
      </w:tr>
    </w:tbl>
    <w:p w14:paraId="3D7DA929" w14:textId="77777777" w:rsidR="004D242F" w:rsidRDefault="004D242F" w:rsidP="004D242F">
      <w:pPr>
        <w:jc w:val="center"/>
        <w:rPr>
          <w:rFonts w:ascii="Calibri" w:hAnsi="Calibri" w:cs="Calibri"/>
          <w:sz w:val="20"/>
        </w:rPr>
      </w:pPr>
    </w:p>
    <w:p w14:paraId="18CF5341" w14:textId="77777777" w:rsidR="004D242F" w:rsidRDefault="004D242F" w:rsidP="004D242F">
      <w:pPr>
        <w:jc w:val="center"/>
        <w:rPr>
          <w:rFonts w:ascii="Calibri" w:hAnsi="Calibri" w:cs="Calibri"/>
          <w:sz w:val="20"/>
        </w:rPr>
      </w:pPr>
    </w:p>
    <w:p w14:paraId="64B9916B" w14:textId="77777777" w:rsidR="004D242F" w:rsidRDefault="004D242F" w:rsidP="004D242F">
      <w:pPr>
        <w:jc w:val="center"/>
        <w:rPr>
          <w:rFonts w:ascii="Calibri" w:hAnsi="Calibri" w:cs="Calibri"/>
          <w:sz w:val="20"/>
        </w:rPr>
      </w:pPr>
    </w:p>
    <w:p w14:paraId="3E0CA78A" w14:textId="77777777" w:rsidR="004D242F" w:rsidRDefault="004D242F" w:rsidP="004D242F">
      <w:pPr>
        <w:rPr>
          <w:rFonts w:ascii="Calibri" w:hAnsi="Calibri" w:cs="Calibri"/>
          <w:sz w:val="20"/>
        </w:rPr>
      </w:pPr>
    </w:p>
    <w:p w14:paraId="068421AB" w14:textId="799190B5" w:rsidR="004D242F" w:rsidRDefault="004D242F" w:rsidP="004D242F">
      <w:pPr>
        <w:jc w:val="center"/>
        <w:rPr>
          <w:rFonts w:ascii="Calibri" w:hAnsi="Calibri" w:cs="Calibri"/>
          <w:sz w:val="20"/>
        </w:rPr>
      </w:pPr>
    </w:p>
    <w:p w14:paraId="60696CF5" w14:textId="4785E0EC" w:rsidR="00BE58A2" w:rsidRDefault="00BE58A2" w:rsidP="004D242F">
      <w:pPr>
        <w:jc w:val="center"/>
        <w:rPr>
          <w:rFonts w:ascii="Calibri" w:hAnsi="Calibri" w:cs="Calibri"/>
          <w:sz w:val="20"/>
        </w:rPr>
      </w:pPr>
    </w:p>
    <w:p w14:paraId="7612A97A" w14:textId="77777777" w:rsidR="00BE58A2" w:rsidRDefault="00BE58A2" w:rsidP="004D242F">
      <w:pPr>
        <w:jc w:val="center"/>
        <w:rPr>
          <w:rFonts w:ascii="Calibri" w:hAnsi="Calibri" w:cs="Calibri"/>
          <w:sz w:val="20"/>
        </w:rPr>
      </w:pPr>
    </w:p>
    <w:p w14:paraId="160C4A02" w14:textId="77777777" w:rsidR="004D242F" w:rsidRDefault="004D242F" w:rsidP="004D242F">
      <w:pPr>
        <w:jc w:val="center"/>
        <w:rPr>
          <w:rFonts w:ascii="Calibri" w:hAnsi="Calibri" w:cs="Calibri"/>
          <w:sz w:val="20"/>
        </w:rPr>
      </w:pPr>
    </w:p>
    <w:p w14:paraId="707FDAA2" w14:textId="77777777" w:rsidR="004D242F" w:rsidRDefault="004D242F" w:rsidP="004D242F">
      <w:pPr>
        <w:jc w:val="center"/>
        <w:rPr>
          <w:rFonts w:ascii="Calibri" w:hAnsi="Calibri" w:cs="Calibri"/>
          <w:sz w:val="20"/>
        </w:rPr>
      </w:pPr>
    </w:p>
    <w:p w14:paraId="73F3639F" w14:textId="77777777" w:rsidR="004D242F" w:rsidRDefault="004D242F" w:rsidP="004D242F">
      <w:pPr>
        <w:jc w:val="center"/>
        <w:rPr>
          <w:rFonts w:ascii="Calibri" w:hAnsi="Calibri" w:cs="Calibri"/>
          <w:sz w:val="20"/>
        </w:rPr>
      </w:pPr>
    </w:p>
    <w:p w14:paraId="5B41C4D2" w14:textId="77777777" w:rsidR="004D242F" w:rsidRDefault="004D242F" w:rsidP="004D242F">
      <w:pPr>
        <w:rPr>
          <w:rFonts w:ascii="Calibri" w:hAnsi="Calibri" w:cs="Calibri"/>
          <w:sz w:val="20"/>
        </w:rPr>
      </w:pPr>
    </w:p>
    <w:p w14:paraId="05288216" w14:textId="77777777" w:rsidR="004D242F" w:rsidRDefault="004D242F" w:rsidP="004D242F">
      <w:pPr>
        <w:jc w:val="center"/>
        <w:rPr>
          <w:rFonts w:ascii="Calibri" w:hAnsi="Calibri" w:cs="Calibri"/>
          <w:sz w:val="20"/>
        </w:rPr>
      </w:pPr>
    </w:p>
    <w:p w14:paraId="7E1338A4" w14:textId="77777777" w:rsidR="004D242F" w:rsidRDefault="004D242F" w:rsidP="004D242F">
      <w:pPr>
        <w:jc w:val="center"/>
        <w:rPr>
          <w:rFonts w:ascii="Calibri" w:hAnsi="Calibri" w:cs="Calibri"/>
          <w:sz w:val="20"/>
        </w:rPr>
      </w:pPr>
    </w:p>
    <w:p w14:paraId="4270E3B0" w14:textId="77777777" w:rsidR="004D242F" w:rsidRDefault="004D242F" w:rsidP="004D242F">
      <w:pPr>
        <w:jc w:val="center"/>
        <w:rPr>
          <w:rFonts w:ascii="Calibri" w:hAnsi="Calibri" w:cs="Calibri"/>
          <w:sz w:val="20"/>
        </w:rPr>
      </w:pPr>
    </w:p>
    <w:p w14:paraId="7FDBB75E"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7C2E6A70" wp14:editId="1BB63384">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2B168896" w14:textId="77777777" w:rsidR="004D242F" w:rsidRDefault="004D242F" w:rsidP="004D242F">
      <w:pPr>
        <w:ind w:left="2520"/>
        <w:rPr>
          <w:rFonts w:ascii="Calibri" w:hAnsi="Calibri" w:cs="Calibri"/>
          <w:color w:val="008000"/>
          <w:sz w:val="20"/>
        </w:rPr>
        <w:sectPr w:rsidR="004D242F" w:rsidSect="000E35A2">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1A82AAA7" w14:textId="38B167CD" w:rsidR="004D242F" w:rsidRDefault="007C7B0D" w:rsidP="007C7B0D">
      <w:pPr>
        <w:tabs>
          <w:tab w:val="left" w:pos="1080"/>
          <w:tab w:val="num" w:pos="1350"/>
        </w:tabs>
        <w:jc w:val="center"/>
        <w:rPr>
          <w:rFonts w:ascii="Calibri" w:hAnsi="Calibri" w:cs="Calibri"/>
          <w:b/>
          <w:bCs/>
        </w:rPr>
      </w:pPr>
      <w:r w:rsidRPr="007C7B0D">
        <w:rPr>
          <w:rFonts w:ascii="Calibri" w:hAnsi="Calibri" w:cs="Calibri"/>
          <w:b/>
          <w:bCs/>
        </w:rPr>
        <w:lastRenderedPageBreak/>
        <w:t>Responses to Bidders Conference Questions</w:t>
      </w:r>
    </w:p>
    <w:p w14:paraId="08E7F8AB" w14:textId="77777777" w:rsidR="007C7B0D" w:rsidRPr="007C7B0D" w:rsidRDefault="007C7B0D" w:rsidP="007C7B0D">
      <w:pPr>
        <w:tabs>
          <w:tab w:val="left" w:pos="1080"/>
          <w:tab w:val="num" w:pos="1350"/>
        </w:tabs>
        <w:jc w:val="center"/>
        <w:rPr>
          <w:rFonts w:ascii="Calibri" w:hAnsi="Calibri" w:cs="Calibri"/>
          <w:b/>
          <w:bCs/>
        </w:rPr>
      </w:pPr>
    </w:p>
    <w:p w14:paraId="21D97913" w14:textId="0E5027C1" w:rsidR="004D242F" w:rsidRPr="00985AE1" w:rsidRDefault="00641F2B" w:rsidP="00A957C4">
      <w:pPr>
        <w:numPr>
          <w:ilvl w:val="0"/>
          <w:numId w:val="1"/>
        </w:numPr>
        <w:tabs>
          <w:tab w:val="num" w:pos="1080"/>
        </w:tabs>
        <w:ind w:left="1080" w:hanging="720"/>
        <w:jc w:val="both"/>
        <w:rPr>
          <w:rFonts w:ascii="Calibri" w:hAnsi="Calibri" w:cs="Calibri"/>
          <w:b/>
        </w:rPr>
      </w:pPr>
      <w:r>
        <w:rPr>
          <w:rFonts w:ascii="Calibri" w:hAnsi="Calibri" w:cs="Calibri"/>
        </w:rPr>
        <w:t xml:space="preserve">Are there any requirements </w:t>
      </w:r>
      <w:r w:rsidR="00A957C4">
        <w:rPr>
          <w:rFonts w:ascii="Calibri" w:hAnsi="Calibri" w:cs="Calibri"/>
        </w:rPr>
        <w:t>pertaining</w:t>
      </w:r>
      <w:r>
        <w:rPr>
          <w:rFonts w:ascii="Calibri" w:hAnsi="Calibri" w:cs="Calibri"/>
        </w:rPr>
        <w:t xml:space="preserve"> to cost per client?</w:t>
      </w:r>
      <w:r w:rsidR="00A957C4">
        <w:rPr>
          <w:rFonts w:ascii="Calibri" w:hAnsi="Calibri" w:cs="Calibri"/>
        </w:rPr>
        <w:t xml:space="preserve">  Do Bidders need to propose a cost per client?</w:t>
      </w:r>
    </w:p>
    <w:p w14:paraId="6CF7F961" w14:textId="2842A3CA" w:rsidR="00A957C4" w:rsidRDefault="00A957C4" w:rsidP="00A957C4">
      <w:pPr>
        <w:numPr>
          <w:ilvl w:val="1"/>
          <w:numId w:val="1"/>
        </w:numPr>
        <w:tabs>
          <w:tab w:val="clear" w:pos="810"/>
          <w:tab w:val="num" w:pos="1080"/>
        </w:tabs>
        <w:autoSpaceDE w:val="0"/>
        <w:autoSpaceDN w:val="0"/>
        <w:adjustRightInd w:val="0"/>
        <w:ind w:left="1080" w:hanging="720"/>
        <w:jc w:val="both"/>
        <w:rPr>
          <w:rFonts w:ascii="Calibri" w:hAnsi="Calibri" w:cs="Calibri"/>
          <w:b/>
        </w:rPr>
      </w:pPr>
      <w:r>
        <w:rPr>
          <w:rFonts w:ascii="Calibri" w:hAnsi="Calibri" w:cs="Calibri"/>
          <w:b/>
        </w:rPr>
        <w:t>No.  The County is not requesting Bidders to provide a cost per client.</w:t>
      </w:r>
    </w:p>
    <w:p w14:paraId="025EA501" w14:textId="77777777" w:rsidR="00A957C4" w:rsidRDefault="00A957C4" w:rsidP="00A957C4">
      <w:pPr>
        <w:autoSpaceDE w:val="0"/>
        <w:autoSpaceDN w:val="0"/>
        <w:adjustRightInd w:val="0"/>
        <w:ind w:left="1080"/>
        <w:jc w:val="both"/>
        <w:rPr>
          <w:rFonts w:ascii="Calibri" w:hAnsi="Calibri" w:cs="Calibri"/>
          <w:b/>
        </w:rPr>
      </w:pPr>
    </w:p>
    <w:p w14:paraId="2F068E6B" w14:textId="3E5AF698" w:rsidR="004D242F" w:rsidRDefault="00A957C4" w:rsidP="00A957C4">
      <w:pPr>
        <w:autoSpaceDE w:val="0"/>
        <w:autoSpaceDN w:val="0"/>
        <w:adjustRightInd w:val="0"/>
        <w:ind w:left="1080"/>
        <w:jc w:val="both"/>
        <w:rPr>
          <w:rFonts w:ascii="Calibri" w:hAnsi="Calibri" w:cs="Calibri"/>
          <w:b/>
        </w:rPr>
      </w:pPr>
      <w:r>
        <w:rPr>
          <w:rFonts w:ascii="Calibri" w:hAnsi="Calibri" w:cs="Calibri"/>
          <w:b/>
        </w:rPr>
        <w:t>However, the County will calculate—based Bidder’s Budget Form(s)—a “County Cost Per Participant” when evaluating “Cost.”  As stated on page 26 of the RFP, Section I (EVALUATION CRITERIA/SELECTION COMMITTEE), Row C (Cost):</w:t>
      </w:r>
    </w:p>
    <w:p w14:paraId="5996AF26" w14:textId="414BCB9C" w:rsidR="00A957C4" w:rsidRDefault="00A957C4" w:rsidP="00A957C4">
      <w:pPr>
        <w:autoSpaceDE w:val="0"/>
        <w:autoSpaceDN w:val="0"/>
        <w:adjustRightInd w:val="0"/>
        <w:ind w:left="1080"/>
        <w:jc w:val="both"/>
        <w:rPr>
          <w:rFonts w:ascii="Calibri" w:hAnsi="Calibri" w:cs="Calibri"/>
          <w:b/>
        </w:rPr>
      </w:pPr>
    </w:p>
    <w:tbl>
      <w:tblPr>
        <w:tblW w:w="8539"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39"/>
      </w:tblGrid>
      <w:tr w:rsidR="00A957C4" w:rsidRPr="00A85450" w14:paraId="7CB0A7E8" w14:textId="77777777" w:rsidTr="00A957C4">
        <w:tc>
          <w:tcPr>
            <w:tcW w:w="8539" w:type="dxa"/>
            <w:tcMar>
              <w:top w:w="72" w:type="dxa"/>
              <w:left w:w="115" w:type="dxa"/>
              <w:right w:w="115" w:type="dxa"/>
            </w:tcMar>
          </w:tcPr>
          <w:p w14:paraId="35947172" w14:textId="77777777" w:rsidR="00A957C4" w:rsidRPr="00A85450" w:rsidRDefault="00A957C4" w:rsidP="00A957C4">
            <w:pPr>
              <w:jc w:val="both"/>
              <w:rPr>
                <w:rFonts w:ascii="Calibri" w:hAnsi="Calibri" w:cs="Calibri"/>
                <w:b/>
              </w:rPr>
            </w:pPr>
            <w:r w:rsidRPr="00A85450">
              <w:rPr>
                <w:rFonts w:ascii="Calibri" w:hAnsi="Calibri" w:cs="Calibri"/>
                <w:b/>
              </w:rPr>
              <w:t>Cost:</w:t>
            </w:r>
          </w:p>
          <w:p w14:paraId="1AD0ED1F" w14:textId="77777777" w:rsidR="00A957C4" w:rsidRPr="00A85450" w:rsidRDefault="00A957C4" w:rsidP="00A957C4">
            <w:pPr>
              <w:jc w:val="both"/>
              <w:rPr>
                <w:rFonts w:ascii="Calibri" w:hAnsi="Calibri" w:cs="Calibri"/>
              </w:rPr>
            </w:pPr>
            <w:r w:rsidRPr="00A85450">
              <w:rPr>
                <w:rFonts w:ascii="Calibri" w:hAnsi="Calibri" w:cs="Calibri"/>
              </w:rPr>
              <w:t xml:space="preserve">The points for Cost will be computed by dividing the amount of the lowest responsive </w:t>
            </w:r>
            <w:r w:rsidRPr="00242A6C">
              <w:rPr>
                <w:rFonts w:ascii="Calibri" w:hAnsi="Calibri" w:cs="Calibri"/>
                <w:i/>
                <w:iCs/>
              </w:rPr>
              <w:t xml:space="preserve">County Cost Per </w:t>
            </w:r>
            <w:r>
              <w:rPr>
                <w:rFonts w:ascii="Calibri" w:hAnsi="Calibri" w:cs="Calibri"/>
                <w:i/>
                <w:iCs/>
              </w:rPr>
              <w:t>Participant</w:t>
            </w:r>
            <w:r>
              <w:rPr>
                <w:rFonts w:ascii="Calibri" w:hAnsi="Calibri" w:cs="Calibri"/>
              </w:rPr>
              <w:t xml:space="preserve"> </w:t>
            </w:r>
            <w:r w:rsidRPr="00A85450">
              <w:rPr>
                <w:rFonts w:ascii="Calibri" w:hAnsi="Calibri" w:cs="Calibri"/>
              </w:rPr>
              <w:t xml:space="preserve">by each bidder’s </w:t>
            </w:r>
            <w:r w:rsidRPr="00242A6C">
              <w:rPr>
                <w:rFonts w:ascii="Calibri" w:hAnsi="Calibri" w:cs="Calibri"/>
                <w:i/>
                <w:iCs/>
              </w:rPr>
              <w:t xml:space="preserve">County Cost Per </w:t>
            </w:r>
            <w:r>
              <w:rPr>
                <w:rFonts w:ascii="Calibri" w:hAnsi="Calibri" w:cs="Calibri"/>
                <w:i/>
                <w:iCs/>
              </w:rPr>
              <w:t>Participant</w:t>
            </w:r>
            <w:r>
              <w:rPr>
                <w:rFonts w:ascii="Calibri" w:hAnsi="Calibri" w:cs="Calibri"/>
              </w:rPr>
              <w:t xml:space="preserve">.  </w:t>
            </w:r>
            <w:r w:rsidRPr="00242A6C">
              <w:rPr>
                <w:rFonts w:ascii="Calibri" w:hAnsi="Calibri" w:cs="Calibri"/>
                <w:b/>
                <w:bCs/>
                <w:iCs/>
              </w:rPr>
              <w:t xml:space="preserve">County Cost Per </w:t>
            </w:r>
            <w:r>
              <w:rPr>
                <w:rFonts w:ascii="Calibri" w:hAnsi="Calibri" w:cs="Calibri"/>
                <w:b/>
                <w:bCs/>
                <w:iCs/>
              </w:rPr>
              <w:t>Participant</w:t>
            </w:r>
            <w:r>
              <w:rPr>
                <w:rFonts w:ascii="Calibri" w:hAnsi="Calibri" w:cs="Calibri"/>
              </w:rPr>
              <w:t xml:space="preserve"> will be determined by dividing the </w:t>
            </w:r>
            <w:r w:rsidRPr="00242A6C">
              <w:rPr>
                <w:rFonts w:ascii="Calibri" w:hAnsi="Calibri" w:cs="Calibri"/>
                <w:i/>
                <w:iCs/>
              </w:rPr>
              <w:t>County Request (Grand Total Costs)</w:t>
            </w:r>
            <w:r>
              <w:rPr>
                <w:rFonts w:ascii="Calibri" w:hAnsi="Calibri" w:cs="Calibri"/>
              </w:rPr>
              <w:t xml:space="preserve"> by the </w:t>
            </w:r>
            <w:r w:rsidRPr="00242A6C">
              <w:rPr>
                <w:rFonts w:ascii="Calibri" w:hAnsi="Calibri" w:cs="Calibri"/>
                <w:i/>
                <w:iCs/>
              </w:rPr>
              <w:t>Total Client Service Capacit</w:t>
            </w:r>
            <w:r>
              <w:rPr>
                <w:rFonts w:ascii="Calibri" w:hAnsi="Calibri" w:cs="Calibri"/>
                <w:i/>
                <w:iCs/>
              </w:rPr>
              <w:t>y</w:t>
            </w:r>
            <w:r w:rsidRPr="00A85450">
              <w:rPr>
                <w:rFonts w:ascii="Calibri" w:hAnsi="Calibri" w:cs="Calibri"/>
              </w:rPr>
              <w:t>.</w:t>
            </w:r>
          </w:p>
          <w:p w14:paraId="5C257568" w14:textId="77777777" w:rsidR="00A957C4" w:rsidRPr="00A85450" w:rsidRDefault="00A957C4" w:rsidP="00A957C4">
            <w:pPr>
              <w:jc w:val="both"/>
              <w:rPr>
                <w:rFonts w:ascii="Calibri" w:hAnsi="Calibri" w:cs="Calibri"/>
                <w:sz w:val="12"/>
                <w:szCs w:val="12"/>
              </w:rPr>
            </w:pPr>
          </w:p>
          <w:p w14:paraId="24160AFF" w14:textId="77777777" w:rsidR="00A957C4" w:rsidRPr="00A85450" w:rsidRDefault="00A957C4" w:rsidP="00A957C4">
            <w:pPr>
              <w:jc w:val="both"/>
              <w:rPr>
                <w:rFonts w:ascii="Calibri" w:hAnsi="Calibri" w:cs="Calibri"/>
              </w:rPr>
            </w:pPr>
            <w:r w:rsidRPr="00A85450">
              <w:rPr>
                <w:rFonts w:ascii="Calibri" w:hAnsi="Calibri" w:cs="Calibri"/>
              </w:rPr>
              <w:t>Consideration of price in terms of overall affordability may be controlling in circumstances where two or more proposals are otherwise adjudged to be equal, or when a superior proposal is at a price that the County cannot afford.</w:t>
            </w:r>
          </w:p>
        </w:tc>
      </w:tr>
    </w:tbl>
    <w:p w14:paraId="13CEE7D5" w14:textId="53467C3D" w:rsidR="00A957C4" w:rsidRDefault="00A957C4" w:rsidP="00A957C4">
      <w:pPr>
        <w:autoSpaceDE w:val="0"/>
        <w:autoSpaceDN w:val="0"/>
        <w:adjustRightInd w:val="0"/>
        <w:ind w:left="1080"/>
        <w:jc w:val="both"/>
        <w:rPr>
          <w:rFonts w:ascii="Calibri" w:hAnsi="Calibri" w:cs="Calibri"/>
          <w:b/>
        </w:rPr>
      </w:pPr>
    </w:p>
    <w:p w14:paraId="6FAFB802" w14:textId="1738EC6E" w:rsidR="004D242F" w:rsidRPr="00641F2B" w:rsidRDefault="00641F2B" w:rsidP="00A957C4">
      <w:pPr>
        <w:numPr>
          <w:ilvl w:val="0"/>
          <w:numId w:val="1"/>
        </w:numPr>
        <w:tabs>
          <w:tab w:val="num" w:pos="1080"/>
        </w:tabs>
        <w:ind w:left="1080" w:hanging="720"/>
        <w:jc w:val="both"/>
        <w:rPr>
          <w:rFonts w:ascii="Calibri" w:hAnsi="Calibri" w:cs="Calibri"/>
          <w:bCs/>
        </w:rPr>
      </w:pPr>
      <w:r w:rsidRPr="00641F2B">
        <w:rPr>
          <w:rFonts w:ascii="Calibri" w:hAnsi="Calibri" w:cs="Calibri"/>
          <w:bCs/>
        </w:rPr>
        <w:t xml:space="preserve">Is </w:t>
      </w:r>
      <w:r w:rsidR="00B734B8">
        <w:rPr>
          <w:rFonts w:ascii="Calibri" w:hAnsi="Calibri" w:cs="Calibri"/>
          <w:bCs/>
        </w:rPr>
        <w:t xml:space="preserve">November </w:t>
      </w:r>
      <w:r w:rsidRPr="00641F2B">
        <w:rPr>
          <w:rFonts w:ascii="Calibri" w:hAnsi="Calibri" w:cs="Calibri"/>
          <w:bCs/>
        </w:rPr>
        <w:t>the timeframe</w:t>
      </w:r>
      <w:r w:rsidR="00A957C4">
        <w:rPr>
          <w:rFonts w:ascii="Calibri" w:hAnsi="Calibri" w:cs="Calibri"/>
          <w:bCs/>
        </w:rPr>
        <w:t xml:space="preserve"> for when </w:t>
      </w:r>
      <w:r w:rsidRPr="00641F2B">
        <w:rPr>
          <w:rFonts w:ascii="Calibri" w:hAnsi="Calibri" w:cs="Calibri"/>
          <w:bCs/>
        </w:rPr>
        <w:t>reference</w:t>
      </w:r>
      <w:r w:rsidR="00823421">
        <w:rPr>
          <w:rFonts w:ascii="Calibri" w:hAnsi="Calibri" w:cs="Calibri"/>
          <w:bCs/>
        </w:rPr>
        <w:t>s</w:t>
      </w:r>
      <w:r w:rsidR="00A957C4">
        <w:rPr>
          <w:rFonts w:ascii="Calibri" w:hAnsi="Calibri" w:cs="Calibri"/>
          <w:bCs/>
        </w:rPr>
        <w:t xml:space="preserve"> will</w:t>
      </w:r>
      <w:r w:rsidRPr="00641F2B">
        <w:rPr>
          <w:rFonts w:ascii="Calibri" w:hAnsi="Calibri" w:cs="Calibri"/>
          <w:bCs/>
        </w:rPr>
        <w:t xml:space="preserve"> need to </w:t>
      </w:r>
      <w:r w:rsidR="00A957C4">
        <w:rPr>
          <w:rFonts w:ascii="Calibri" w:hAnsi="Calibri" w:cs="Calibri"/>
          <w:bCs/>
        </w:rPr>
        <w:t>make themselves</w:t>
      </w:r>
      <w:r w:rsidRPr="00641F2B">
        <w:rPr>
          <w:rFonts w:ascii="Calibri" w:hAnsi="Calibri" w:cs="Calibri"/>
          <w:bCs/>
        </w:rPr>
        <w:t xml:space="preserve"> available?</w:t>
      </w:r>
    </w:p>
    <w:p w14:paraId="3FB19B3B" w14:textId="1ACEFF76" w:rsidR="00A957C4" w:rsidRDefault="00BA29A0" w:rsidP="00A957C4">
      <w:pPr>
        <w:numPr>
          <w:ilvl w:val="1"/>
          <w:numId w:val="1"/>
        </w:numPr>
        <w:tabs>
          <w:tab w:val="clear" w:pos="810"/>
          <w:tab w:val="num" w:pos="1080"/>
        </w:tabs>
        <w:autoSpaceDE w:val="0"/>
        <w:autoSpaceDN w:val="0"/>
        <w:adjustRightInd w:val="0"/>
        <w:ind w:left="1080" w:hanging="720"/>
        <w:jc w:val="both"/>
        <w:rPr>
          <w:rFonts w:ascii="Calibri" w:hAnsi="Calibri" w:cs="Calibri"/>
          <w:b/>
        </w:rPr>
      </w:pPr>
      <w:r>
        <w:rPr>
          <w:rFonts w:ascii="Calibri" w:hAnsi="Calibri" w:cs="Calibri"/>
          <w:b/>
        </w:rPr>
        <w:t>For Bidders that make it to the interview stage, t</w:t>
      </w:r>
      <w:r w:rsidR="00A957C4">
        <w:rPr>
          <w:rFonts w:ascii="Calibri" w:hAnsi="Calibri" w:cs="Calibri"/>
          <w:b/>
        </w:rPr>
        <w:t xml:space="preserve">he County </w:t>
      </w:r>
      <w:r>
        <w:rPr>
          <w:rFonts w:ascii="Calibri" w:hAnsi="Calibri" w:cs="Calibri"/>
          <w:b/>
        </w:rPr>
        <w:t>currently anticipates calling references in the month of November; however, it is tentative and subject to change.</w:t>
      </w:r>
    </w:p>
    <w:p w14:paraId="70AE7C7D" w14:textId="77777777" w:rsidR="00BA29A0" w:rsidRDefault="00BA29A0" w:rsidP="00A957C4">
      <w:pPr>
        <w:autoSpaceDE w:val="0"/>
        <w:autoSpaceDN w:val="0"/>
        <w:adjustRightInd w:val="0"/>
        <w:ind w:left="1080"/>
        <w:jc w:val="both"/>
        <w:rPr>
          <w:rFonts w:ascii="Calibri" w:hAnsi="Calibri" w:cs="Calibri"/>
          <w:b/>
        </w:rPr>
      </w:pPr>
    </w:p>
    <w:p w14:paraId="43330DC7" w14:textId="45DE36FF" w:rsidR="004D242F" w:rsidRPr="00985AE1" w:rsidRDefault="00BA29A0" w:rsidP="00BA29A0">
      <w:pPr>
        <w:autoSpaceDE w:val="0"/>
        <w:autoSpaceDN w:val="0"/>
        <w:adjustRightInd w:val="0"/>
        <w:ind w:left="1080"/>
        <w:jc w:val="both"/>
        <w:rPr>
          <w:rFonts w:ascii="Calibri" w:hAnsi="Calibri" w:cs="Calibri"/>
          <w:b/>
        </w:rPr>
      </w:pPr>
      <w:r>
        <w:rPr>
          <w:rFonts w:ascii="Calibri" w:hAnsi="Calibri" w:cs="Calibri"/>
          <w:b/>
        </w:rPr>
        <w:t>Bidders will be notified if they make it to the interview stage.  If so, the County strongly encourages Bidders to</w:t>
      </w:r>
      <w:r w:rsidR="00823421">
        <w:rPr>
          <w:rFonts w:ascii="Calibri" w:hAnsi="Calibri" w:cs="Calibri"/>
          <w:b/>
        </w:rPr>
        <w:t xml:space="preserve"> </w:t>
      </w:r>
      <w:r>
        <w:rPr>
          <w:rFonts w:ascii="Calibri" w:hAnsi="Calibri" w:cs="Calibri"/>
          <w:b/>
        </w:rPr>
        <w:t xml:space="preserve">call each reference to ensure reference are available and accessible.  </w:t>
      </w:r>
      <w:r w:rsidR="00823421">
        <w:rPr>
          <w:rFonts w:ascii="Calibri" w:hAnsi="Calibri" w:cs="Calibri"/>
          <w:b/>
        </w:rPr>
        <w:t xml:space="preserve">It </w:t>
      </w:r>
      <w:r w:rsidR="00B734B8">
        <w:rPr>
          <w:rFonts w:ascii="Calibri" w:hAnsi="Calibri" w:cs="Calibri"/>
          <w:b/>
        </w:rPr>
        <w:t xml:space="preserve">the responsibility of the </w:t>
      </w:r>
      <w:r>
        <w:rPr>
          <w:rFonts w:ascii="Calibri" w:hAnsi="Calibri" w:cs="Calibri"/>
          <w:b/>
        </w:rPr>
        <w:t>Bidder</w:t>
      </w:r>
      <w:r w:rsidR="00B734B8">
        <w:rPr>
          <w:rFonts w:ascii="Calibri" w:hAnsi="Calibri" w:cs="Calibri"/>
          <w:b/>
        </w:rPr>
        <w:t xml:space="preserve"> to ensure references are available and the correct contact information is </w:t>
      </w:r>
      <w:r>
        <w:rPr>
          <w:rFonts w:ascii="Calibri" w:hAnsi="Calibri" w:cs="Calibri"/>
          <w:b/>
        </w:rPr>
        <w:t>provided</w:t>
      </w:r>
      <w:r w:rsidR="00B734B8">
        <w:rPr>
          <w:rFonts w:ascii="Calibri" w:hAnsi="Calibri" w:cs="Calibri"/>
          <w:b/>
        </w:rPr>
        <w:t xml:space="preserve">. </w:t>
      </w:r>
    </w:p>
    <w:p w14:paraId="18A4583F" w14:textId="77777777" w:rsidR="004D242F" w:rsidRPr="00985AE1" w:rsidRDefault="004D242F" w:rsidP="00A957C4">
      <w:pPr>
        <w:tabs>
          <w:tab w:val="num" w:pos="1080"/>
          <w:tab w:val="num" w:pos="1350"/>
        </w:tabs>
        <w:ind w:left="1080" w:hanging="720"/>
        <w:jc w:val="both"/>
        <w:rPr>
          <w:rFonts w:ascii="Calibri" w:hAnsi="Calibri" w:cs="Calibri"/>
        </w:rPr>
      </w:pPr>
    </w:p>
    <w:p w14:paraId="73DA3144" w14:textId="1BAC5A40" w:rsidR="004D242F" w:rsidRPr="00985AE1" w:rsidRDefault="00BA29A0" w:rsidP="00A957C4">
      <w:pPr>
        <w:numPr>
          <w:ilvl w:val="0"/>
          <w:numId w:val="1"/>
        </w:numPr>
        <w:tabs>
          <w:tab w:val="num" w:pos="1080"/>
        </w:tabs>
        <w:ind w:left="1080" w:hanging="720"/>
        <w:jc w:val="both"/>
        <w:rPr>
          <w:rFonts w:ascii="Calibri" w:hAnsi="Calibri" w:cs="Calibri"/>
          <w:b/>
        </w:rPr>
      </w:pPr>
      <w:bookmarkStart w:id="1" w:name="_Hlk22109596"/>
      <w:r>
        <w:rPr>
          <w:rFonts w:ascii="Calibri" w:hAnsi="Calibri" w:cs="Calibri"/>
        </w:rPr>
        <w:t>Can the County please confirm the hours of operation at the c</w:t>
      </w:r>
      <w:r w:rsidR="00823421">
        <w:rPr>
          <w:rFonts w:ascii="Calibri" w:hAnsi="Calibri" w:cs="Calibri"/>
        </w:rPr>
        <w:t>afé at the J</w:t>
      </w:r>
      <w:r w:rsidR="00D17C96">
        <w:rPr>
          <w:rFonts w:ascii="Calibri" w:hAnsi="Calibri" w:cs="Calibri"/>
        </w:rPr>
        <w:t xml:space="preserve">uvenile </w:t>
      </w:r>
      <w:r w:rsidR="00823421">
        <w:rPr>
          <w:rFonts w:ascii="Calibri" w:hAnsi="Calibri" w:cs="Calibri"/>
        </w:rPr>
        <w:t>J</w:t>
      </w:r>
      <w:r w:rsidR="00D17C96">
        <w:rPr>
          <w:rFonts w:ascii="Calibri" w:hAnsi="Calibri" w:cs="Calibri"/>
        </w:rPr>
        <w:t xml:space="preserve">ustice </w:t>
      </w:r>
      <w:r w:rsidR="00823421">
        <w:rPr>
          <w:rFonts w:ascii="Calibri" w:hAnsi="Calibri" w:cs="Calibri"/>
        </w:rPr>
        <w:t>C</w:t>
      </w:r>
      <w:r w:rsidR="00D17C96">
        <w:rPr>
          <w:rFonts w:ascii="Calibri" w:hAnsi="Calibri" w:cs="Calibri"/>
        </w:rPr>
        <w:t>enter</w:t>
      </w:r>
      <w:r w:rsidR="00823421">
        <w:rPr>
          <w:rFonts w:ascii="Calibri" w:hAnsi="Calibri" w:cs="Calibri"/>
        </w:rPr>
        <w:t xml:space="preserve">?  </w:t>
      </w:r>
    </w:p>
    <w:p w14:paraId="14A0E961" w14:textId="2C177285" w:rsidR="004D242F" w:rsidRPr="00BA29A0" w:rsidRDefault="00BA29A0" w:rsidP="00A957C4">
      <w:pPr>
        <w:numPr>
          <w:ilvl w:val="1"/>
          <w:numId w:val="1"/>
        </w:numPr>
        <w:tabs>
          <w:tab w:val="clear" w:pos="810"/>
          <w:tab w:val="num" w:pos="1080"/>
        </w:tabs>
        <w:autoSpaceDE w:val="0"/>
        <w:autoSpaceDN w:val="0"/>
        <w:adjustRightInd w:val="0"/>
        <w:ind w:left="1080" w:hanging="720"/>
        <w:jc w:val="both"/>
        <w:rPr>
          <w:rFonts w:ascii="Calibri" w:hAnsi="Calibri" w:cs="Calibri"/>
          <w:b/>
        </w:rPr>
      </w:pPr>
      <w:bookmarkStart w:id="2" w:name="_Hlk22112398"/>
      <w:r>
        <w:rPr>
          <w:rFonts w:ascii="Calibri" w:hAnsi="Calibri" w:cs="Calibri"/>
          <w:b/>
        </w:rPr>
        <w:t>The County intends to operate the JJC café anytime between</w:t>
      </w:r>
      <w:r w:rsidR="00812A71" w:rsidRPr="00BA29A0">
        <w:rPr>
          <w:rFonts w:ascii="Calibri" w:hAnsi="Calibri" w:cs="Calibri"/>
          <w:b/>
        </w:rPr>
        <w:t xml:space="preserve"> 8</w:t>
      </w:r>
      <w:r>
        <w:rPr>
          <w:rFonts w:ascii="Calibri" w:hAnsi="Calibri" w:cs="Calibri"/>
          <w:b/>
        </w:rPr>
        <w:t xml:space="preserve">:00 a.m. – 5:00 p.m. </w:t>
      </w:r>
      <w:r w:rsidR="00812A71" w:rsidRPr="00BA29A0">
        <w:rPr>
          <w:rFonts w:ascii="Calibri" w:hAnsi="Calibri" w:cs="Calibri"/>
          <w:b/>
        </w:rPr>
        <w:t xml:space="preserve"> </w:t>
      </w:r>
      <w:r>
        <w:rPr>
          <w:rFonts w:ascii="Calibri" w:hAnsi="Calibri" w:cs="Calibri"/>
          <w:b/>
        </w:rPr>
        <w:t xml:space="preserve">However, </w:t>
      </w:r>
      <w:r w:rsidR="00812A71" w:rsidRPr="00BA29A0">
        <w:rPr>
          <w:rFonts w:ascii="Calibri" w:hAnsi="Calibri" w:cs="Calibri"/>
          <w:b/>
        </w:rPr>
        <w:t xml:space="preserve">those </w:t>
      </w:r>
      <w:r>
        <w:rPr>
          <w:rFonts w:ascii="Calibri" w:hAnsi="Calibri" w:cs="Calibri"/>
          <w:b/>
        </w:rPr>
        <w:t>hours may change at the County’s discretion.</w:t>
      </w:r>
      <w:r w:rsidR="004D242F" w:rsidRPr="00BA29A0">
        <w:rPr>
          <w:rFonts w:ascii="Calibri" w:hAnsi="Calibri" w:cs="Calibri"/>
          <w:b/>
        </w:rPr>
        <w:t xml:space="preserve"> </w:t>
      </w:r>
    </w:p>
    <w:bookmarkEnd w:id="1"/>
    <w:bookmarkEnd w:id="2"/>
    <w:p w14:paraId="7C25E276" w14:textId="77777777" w:rsidR="004D242F" w:rsidRPr="00985AE1" w:rsidRDefault="004D242F" w:rsidP="00A957C4">
      <w:pPr>
        <w:tabs>
          <w:tab w:val="num" w:pos="1080"/>
        </w:tabs>
        <w:ind w:left="1080" w:hanging="720"/>
        <w:jc w:val="both"/>
        <w:rPr>
          <w:rFonts w:ascii="Calibri" w:hAnsi="Calibri" w:cs="Calibri"/>
        </w:rPr>
      </w:pPr>
    </w:p>
    <w:p w14:paraId="546DB9DC" w14:textId="3F3F98FE" w:rsidR="004D242F" w:rsidRPr="00AF730E" w:rsidRDefault="006126E5" w:rsidP="00C64893">
      <w:pPr>
        <w:numPr>
          <w:ilvl w:val="0"/>
          <w:numId w:val="1"/>
        </w:numPr>
        <w:tabs>
          <w:tab w:val="num" w:pos="1080"/>
        </w:tabs>
        <w:ind w:left="1080" w:hanging="720"/>
        <w:jc w:val="both"/>
        <w:rPr>
          <w:rFonts w:ascii="Calibri" w:hAnsi="Calibri" w:cs="Calibri"/>
          <w:b/>
        </w:rPr>
      </w:pPr>
      <w:bookmarkStart w:id="3" w:name="_Hlk22109884"/>
      <w:r>
        <w:rPr>
          <w:rFonts w:ascii="Calibri" w:hAnsi="Calibri" w:cs="Calibri"/>
        </w:rPr>
        <w:t xml:space="preserve">If a Bidder has an “in-house” program where youth are paid via internship, but are not W-2 employees, does that count as </w:t>
      </w:r>
      <w:r w:rsidR="00C64893">
        <w:rPr>
          <w:rFonts w:ascii="Calibri" w:hAnsi="Calibri" w:cs="Calibri"/>
        </w:rPr>
        <w:t>job placement/</w:t>
      </w:r>
      <w:r>
        <w:rPr>
          <w:rFonts w:ascii="Calibri" w:hAnsi="Calibri" w:cs="Calibri"/>
        </w:rPr>
        <w:t xml:space="preserve">employment?  </w:t>
      </w:r>
    </w:p>
    <w:bookmarkEnd w:id="3"/>
    <w:p w14:paraId="50E7C1CB" w14:textId="543CF2B8" w:rsidR="006126E5" w:rsidRPr="006126E5" w:rsidRDefault="006126E5" w:rsidP="000E35A2">
      <w:pPr>
        <w:numPr>
          <w:ilvl w:val="1"/>
          <w:numId w:val="1"/>
        </w:numPr>
        <w:tabs>
          <w:tab w:val="clear" w:pos="810"/>
          <w:tab w:val="num" w:pos="1080"/>
        </w:tabs>
        <w:autoSpaceDE w:val="0"/>
        <w:autoSpaceDN w:val="0"/>
        <w:adjustRightInd w:val="0"/>
        <w:ind w:left="1080" w:hanging="720"/>
        <w:jc w:val="both"/>
        <w:rPr>
          <w:rFonts w:ascii="Calibri" w:hAnsi="Calibri" w:cs="Calibri"/>
        </w:rPr>
      </w:pPr>
      <w:r w:rsidRPr="006126E5">
        <w:rPr>
          <w:rFonts w:ascii="Calibri" w:hAnsi="Calibri" w:cs="Calibri"/>
          <w:b/>
        </w:rPr>
        <w:t xml:space="preserve">At this time, the County will consider paid internships as </w:t>
      </w:r>
      <w:r w:rsidR="00C64893">
        <w:rPr>
          <w:rFonts w:ascii="Calibri" w:hAnsi="Calibri" w:cs="Calibri"/>
          <w:b/>
        </w:rPr>
        <w:t>job placement/</w:t>
      </w:r>
      <w:r w:rsidRPr="006126E5">
        <w:rPr>
          <w:rFonts w:ascii="Calibri" w:hAnsi="Calibri" w:cs="Calibri"/>
          <w:b/>
        </w:rPr>
        <w:t>employment as long as youth are earning at least minimum wage.  The County, however, reserves its right to review, define, and approve what constitutes a “paid internship</w:t>
      </w:r>
      <w:r>
        <w:rPr>
          <w:rFonts w:ascii="Calibri" w:hAnsi="Calibri" w:cs="Calibri"/>
          <w:b/>
        </w:rPr>
        <w:t>.”</w:t>
      </w:r>
    </w:p>
    <w:p w14:paraId="1F57C3AD" w14:textId="77777777" w:rsidR="006126E5" w:rsidRPr="006126E5" w:rsidRDefault="006126E5" w:rsidP="006126E5">
      <w:pPr>
        <w:autoSpaceDE w:val="0"/>
        <w:autoSpaceDN w:val="0"/>
        <w:adjustRightInd w:val="0"/>
        <w:ind w:left="1080"/>
        <w:jc w:val="both"/>
        <w:rPr>
          <w:rFonts w:ascii="Calibri" w:hAnsi="Calibri" w:cs="Calibri"/>
        </w:rPr>
      </w:pPr>
    </w:p>
    <w:p w14:paraId="35BA9FCB" w14:textId="6E692BE6" w:rsidR="004D242F" w:rsidRPr="00985AE1" w:rsidRDefault="005116E8" w:rsidP="00A957C4">
      <w:pPr>
        <w:numPr>
          <w:ilvl w:val="0"/>
          <w:numId w:val="1"/>
        </w:numPr>
        <w:tabs>
          <w:tab w:val="num" w:pos="1080"/>
        </w:tabs>
        <w:ind w:left="1080" w:hanging="720"/>
        <w:jc w:val="both"/>
        <w:rPr>
          <w:rFonts w:ascii="Calibri" w:hAnsi="Calibri" w:cs="Calibri"/>
          <w:b/>
        </w:rPr>
      </w:pPr>
      <w:r>
        <w:rPr>
          <w:rFonts w:ascii="Calibri" w:hAnsi="Calibri" w:cs="Calibri"/>
        </w:rPr>
        <w:lastRenderedPageBreak/>
        <w:t xml:space="preserve">If </w:t>
      </w:r>
      <w:r w:rsidR="005E642B">
        <w:rPr>
          <w:rFonts w:ascii="Calibri" w:hAnsi="Calibri" w:cs="Calibri"/>
        </w:rPr>
        <w:t>a</w:t>
      </w:r>
      <w:r>
        <w:rPr>
          <w:rFonts w:ascii="Calibri" w:hAnsi="Calibri" w:cs="Calibri"/>
        </w:rPr>
        <w:t xml:space="preserve"> </w:t>
      </w:r>
      <w:r w:rsidR="005E642B">
        <w:rPr>
          <w:rFonts w:ascii="Calibri" w:hAnsi="Calibri" w:cs="Calibri"/>
        </w:rPr>
        <w:t>Bidder</w:t>
      </w:r>
      <w:r>
        <w:rPr>
          <w:rFonts w:ascii="Calibri" w:hAnsi="Calibri" w:cs="Calibri"/>
        </w:rPr>
        <w:t xml:space="preserve"> bids on </w:t>
      </w:r>
      <w:r w:rsidR="005E642B">
        <w:rPr>
          <w:rFonts w:ascii="Calibri" w:hAnsi="Calibri" w:cs="Calibri"/>
        </w:rPr>
        <w:t>two</w:t>
      </w:r>
      <w:r>
        <w:rPr>
          <w:rFonts w:ascii="Calibri" w:hAnsi="Calibri" w:cs="Calibri"/>
        </w:rPr>
        <w:t xml:space="preserve"> regions, </w:t>
      </w:r>
      <w:r w:rsidR="005E642B">
        <w:rPr>
          <w:rFonts w:ascii="Calibri" w:hAnsi="Calibri" w:cs="Calibri"/>
        </w:rPr>
        <w:t>should the Bidder submit one bid response with two Budget Forms?  Or should the Bidder submit two separate bid response, one for each region?  For example, what if the Program Design is different for each region?</w:t>
      </w:r>
    </w:p>
    <w:p w14:paraId="5390EC7C" w14:textId="7769497B" w:rsidR="004D242F" w:rsidRDefault="005E642B" w:rsidP="00A957C4">
      <w:pPr>
        <w:numPr>
          <w:ilvl w:val="1"/>
          <w:numId w:val="1"/>
        </w:numPr>
        <w:tabs>
          <w:tab w:val="clear" w:pos="810"/>
          <w:tab w:val="num" w:pos="1080"/>
        </w:tabs>
        <w:autoSpaceDE w:val="0"/>
        <w:autoSpaceDN w:val="0"/>
        <w:adjustRightInd w:val="0"/>
        <w:ind w:left="1080" w:hanging="720"/>
        <w:jc w:val="both"/>
        <w:rPr>
          <w:rFonts w:ascii="Calibri" w:hAnsi="Calibri" w:cs="Calibri"/>
          <w:b/>
        </w:rPr>
      </w:pPr>
      <w:r>
        <w:rPr>
          <w:rFonts w:ascii="Calibri" w:hAnsi="Calibri" w:cs="Calibri"/>
          <w:b/>
        </w:rPr>
        <w:t>The Count expects a single bid response that complies with the instructions found in the Exhibit A – Bid Response Packet.  Both the “BUDGET FORM(S)” section and the “BUDGET JUSTIFICATION” section instruct Bidders to provide a separate Budget Form and Budget Justification for each Region proposed.</w:t>
      </w:r>
    </w:p>
    <w:p w14:paraId="5B78EC1C" w14:textId="1D34EF8B" w:rsidR="005E642B" w:rsidRDefault="005E642B" w:rsidP="005E642B">
      <w:pPr>
        <w:autoSpaceDE w:val="0"/>
        <w:autoSpaceDN w:val="0"/>
        <w:adjustRightInd w:val="0"/>
        <w:ind w:left="1080"/>
        <w:jc w:val="both"/>
        <w:rPr>
          <w:rFonts w:ascii="Calibri" w:hAnsi="Calibri" w:cs="Calibri"/>
          <w:b/>
        </w:rPr>
      </w:pPr>
    </w:p>
    <w:p w14:paraId="1A380AEF" w14:textId="189466F5" w:rsidR="00723EB0" w:rsidRDefault="005E642B" w:rsidP="00723EB0">
      <w:pPr>
        <w:autoSpaceDE w:val="0"/>
        <w:autoSpaceDN w:val="0"/>
        <w:adjustRightInd w:val="0"/>
        <w:ind w:left="1080"/>
        <w:jc w:val="both"/>
        <w:rPr>
          <w:rFonts w:ascii="Calibri" w:hAnsi="Calibri" w:cs="Calibri"/>
          <w:b/>
        </w:rPr>
      </w:pPr>
      <w:r>
        <w:rPr>
          <w:rFonts w:ascii="Calibri" w:hAnsi="Calibri" w:cs="Calibri"/>
          <w:b/>
        </w:rPr>
        <w:t>For all other required submittals/sections (e.g.,</w:t>
      </w:r>
      <w:r w:rsidR="00723EB0">
        <w:rPr>
          <w:rFonts w:ascii="Calibri" w:hAnsi="Calibri" w:cs="Calibri"/>
          <w:b/>
        </w:rPr>
        <w:t xml:space="preserve"> </w:t>
      </w:r>
      <w:r w:rsidR="00723EB0" w:rsidRPr="00723EB0">
        <w:rPr>
          <w:rFonts w:ascii="Calibri" w:hAnsi="Calibri" w:cs="Calibri"/>
          <w:b/>
          <w:i/>
          <w:iCs/>
        </w:rPr>
        <w:t>Table of Contents</w:t>
      </w:r>
      <w:r w:rsidR="00723EB0">
        <w:rPr>
          <w:rFonts w:ascii="Calibri" w:hAnsi="Calibri" w:cs="Calibri"/>
          <w:b/>
        </w:rPr>
        <w:t>,</w:t>
      </w:r>
      <w:r>
        <w:rPr>
          <w:rFonts w:ascii="Calibri" w:hAnsi="Calibri" w:cs="Calibri"/>
          <w:b/>
        </w:rPr>
        <w:t xml:space="preserve"> </w:t>
      </w:r>
      <w:r w:rsidRPr="00723EB0">
        <w:rPr>
          <w:rFonts w:ascii="Calibri" w:hAnsi="Calibri" w:cs="Calibri"/>
          <w:b/>
          <w:i/>
          <w:iCs/>
        </w:rPr>
        <w:t>Program Design</w:t>
      </w:r>
      <w:r>
        <w:rPr>
          <w:rFonts w:ascii="Calibri" w:hAnsi="Calibri" w:cs="Calibri"/>
          <w:b/>
        </w:rPr>
        <w:t xml:space="preserve">, </w:t>
      </w:r>
      <w:r w:rsidRPr="00723EB0">
        <w:rPr>
          <w:rFonts w:ascii="Calibri" w:hAnsi="Calibri" w:cs="Calibri"/>
          <w:b/>
          <w:i/>
          <w:iCs/>
        </w:rPr>
        <w:t>Outcomes and Impact</w:t>
      </w:r>
      <w:r>
        <w:rPr>
          <w:rFonts w:ascii="Calibri" w:hAnsi="Calibri" w:cs="Calibri"/>
          <w:b/>
        </w:rPr>
        <w:t>, etc.)</w:t>
      </w:r>
      <w:r w:rsidR="00723EB0">
        <w:rPr>
          <w:rFonts w:ascii="Calibri" w:hAnsi="Calibri" w:cs="Calibri"/>
          <w:b/>
        </w:rPr>
        <w:t>, the County expects Bidders to provide only one narrative per required submittal/section that is comprehensive and encompassing of its services, including multiple regions.</w:t>
      </w:r>
    </w:p>
    <w:p w14:paraId="103E71F7" w14:textId="46A6C39B" w:rsidR="00723EB0" w:rsidRDefault="00723EB0" w:rsidP="00723EB0">
      <w:pPr>
        <w:autoSpaceDE w:val="0"/>
        <w:autoSpaceDN w:val="0"/>
        <w:adjustRightInd w:val="0"/>
        <w:ind w:left="1080"/>
        <w:jc w:val="both"/>
        <w:rPr>
          <w:rFonts w:ascii="Calibri" w:hAnsi="Calibri" w:cs="Calibri"/>
          <w:b/>
        </w:rPr>
      </w:pPr>
    </w:p>
    <w:p w14:paraId="26BD8F89" w14:textId="58452C13" w:rsidR="005E642B" w:rsidRPr="00985AE1" w:rsidRDefault="00723EB0" w:rsidP="005E642B">
      <w:pPr>
        <w:autoSpaceDE w:val="0"/>
        <w:autoSpaceDN w:val="0"/>
        <w:adjustRightInd w:val="0"/>
        <w:ind w:left="1080"/>
        <w:jc w:val="both"/>
        <w:rPr>
          <w:rFonts w:ascii="Calibri" w:hAnsi="Calibri" w:cs="Calibri"/>
          <w:b/>
        </w:rPr>
      </w:pPr>
      <w:r>
        <w:rPr>
          <w:rFonts w:ascii="Calibri" w:hAnsi="Calibri" w:cs="Calibri"/>
          <w:b/>
        </w:rPr>
        <w:t xml:space="preserve">For example, if a Bidder proposed to serve Region 1 and Region 2, the Bidder will submit only one bid response.  That one bid response will have two </w:t>
      </w:r>
      <w:r w:rsidRPr="00723EB0">
        <w:rPr>
          <w:rFonts w:ascii="Calibri" w:hAnsi="Calibri" w:cs="Calibri"/>
          <w:b/>
          <w:i/>
          <w:iCs/>
        </w:rPr>
        <w:t>Budget Form</w:t>
      </w:r>
      <w:r>
        <w:rPr>
          <w:rFonts w:ascii="Calibri" w:hAnsi="Calibri" w:cs="Calibri"/>
          <w:b/>
          <w:i/>
          <w:iCs/>
        </w:rPr>
        <w:t>s</w:t>
      </w:r>
      <w:r>
        <w:rPr>
          <w:rFonts w:ascii="Calibri" w:hAnsi="Calibri" w:cs="Calibri"/>
          <w:b/>
        </w:rPr>
        <w:t xml:space="preserve"> and two Budget Justifications (one for each Region).  However, the bid response will only have one </w:t>
      </w:r>
      <w:r w:rsidRPr="00723EB0">
        <w:rPr>
          <w:rFonts w:ascii="Calibri" w:hAnsi="Calibri" w:cs="Calibri"/>
          <w:b/>
          <w:i/>
          <w:iCs/>
        </w:rPr>
        <w:t xml:space="preserve">Program Design </w:t>
      </w:r>
      <w:r>
        <w:rPr>
          <w:rFonts w:ascii="Calibri" w:hAnsi="Calibri" w:cs="Calibri"/>
          <w:b/>
        </w:rPr>
        <w:t xml:space="preserve">narrative—but the Program Design should encompass both Regions.  If the program design is identical, the Bidder should state </w:t>
      </w:r>
      <w:r w:rsidR="00B66402">
        <w:rPr>
          <w:rFonts w:ascii="Calibri" w:hAnsi="Calibri" w:cs="Calibri"/>
          <w:b/>
        </w:rPr>
        <w:t>as much</w:t>
      </w:r>
      <w:r>
        <w:rPr>
          <w:rFonts w:ascii="Calibri" w:hAnsi="Calibri" w:cs="Calibri"/>
          <w:b/>
        </w:rPr>
        <w:t xml:space="preserve">; likewise, any differences between </w:t>
      </w:r>
      <w:r w:rsidR="00B66402">
        <w:rPr>
          <w:rFonts w:ascii="Calibri" w:hAnsi="Calibri" w:cs="Calibri"/>
          <w:b/>
        </w:rPr>
        <w:t>regional program designs</w:t>
      </w:r>
      <w:r>
        <w:rPr>
          <w:rFonts w:ascii="Calibri" w:hAnsi="Calibri" w:cs="Calibri"/>
          <w:b/>
        </w:rPr>
        <w:t xml:space="preserve"> should be identified and explained.</w:t>
      </w:r>
    </w:p>
    <w:p w14:paraId="79CD44A8" w14:textId="22E278E5" w:rsidR="004D242F" w:rsidRDefault="004D242F" w:rsidP="00A957C4">
      <w:pPr>
        <w:tabs>
          <w:tab w:val="num" w:pos="1080"/>
        </w:tabs>
        <w:ind w:left="1080" w:hanging="720"/>
        <w:jc w:val="both"/>
        <w:rPr>
          <w:rFonts w:ascii="Calibri" w:hAnsi="Calibri" w:cs="Calibri"/>
        </w:rPr>
      </w:pPr>
    </w:p>
    <w:p w14:paraId="1970E1CA" w14:textId="462C8909" w:rsidR="006114BA" w:rsidRPr="0025231C" w:rsidRDefault="006114BA" w:rsidP="00A957C4">
      <w:pPr>
        <w:numPr>
          <w:ilvl w:val="0"/>
          <w:numId w:val="1"/>
        </w:numPr>
        <w:tabs>
          <w:tab w:val="num" w:pos="1080"/>
        </w:tabs>
        <w:ind w:left="1080" w:hanging="720"/>
        <w:jc w:val="both"/>
        <w:rPr>
          <w:rFonts w:asciiTheme="minorHAnsi" w:hAnsiTheme="minorHAnsi" w:cstheme="minorHAnsi"/>
          <w:b/>
          <w:szCs w:val="26"/>
        </w:rPr>
      </w:pPr>
      <w:r w:rsidRPr="0025231C">
        <w:rPr>
          <w:rFonts w:asciiTheme="minorHAnsi" w:hAnsiTheme="minorHAnsi" w:cstheme="minorHAnsi"/>
          <w:szCs w:val="26"/>
        </w:rPr>
        <w:t xml:space="preserve">If a </w:t>
      </w:r>
      <w:r w:rsidR="00B66402">
        <w:rPr>
          <w:rFonts w:asciiTheme="minorHAnsi" w:hAnsiTheme="minorHAnsi" w:cstheme="minorHAnsi"/>
          <w:szCs w:val="26"/>
        </w:rPr>
        <w:t>Bidder</w:t>
      </w:r>
      <w:r w:rsidRPr="0025231C">
        <w:rPr>
          <w:rFonts w:asciiTheme="minorHAnsi" w:hAnsiTheme="minorHAnsi" w:cstheme="minorHAnsi"/>
          <w:szCs w:val="26"/>
        </w:rPr>
        <w:t xml:space="preserve"> anticipates that youth could be eligible for its programs from two regions, then would it be accurate to indicate the number to be served in the box in the </w:t>
      </w:r>
      <w:r w:rsidR="00B66402" w:rsidRPr="0025231C">
        <w:rPr>
          <w:rFonts w:asciiTheme="minorHAnsi" w:hAnsiTheme="minorHAnsi" w:cstheme="minorHAnsi"/>
          <w:szCs w:val="26"/>
        </w:rPr>
        <w:t xml:space="preserve">Budget </w:t>
      </w:r>
      <w:r w:rsidR="00B66402">
        <w:rPr>
          <w:rFonts w:asciiTheme="minorHAnsi" w:hAnsiTheme="minorHAnsi" w:cstheme="minorHAnsi"/>
          <w:szCs w:val="26"/>
        </w:rPr>
        <w:t xml:space="preserve">Form </w:t>
      </w:r>
      <w:r w:rsidR="00B66402" w:rsidRPr="0025231C">
        <w:rPr>
          <w:rFonts w:asciiTheme="minorHAnsi" w:hAnsiTheme="minorHAnsi" w:cstheme="minorHAnsi"/>
          <w:szCs w:val="26"/>
        </w:rPr>
        <w:t>Template</w:t>
      </w:r>
      <w:r w:rsidR="00B66402">
        <w:rPr>
          <w:rFonts w:asciiTheme="minorHAnsi" w:hAnsiTheme="minorHAnsi" w:cstheme="minorHAnsi"/>
          <w:szCs w:val="26"/>
        </w:rPr>
        <w:t xml:space="preserve"> designated for</w:t>
      </w:r>
      <w:r w:rsidR="00B66402" w:rsidRPr="00B66402">
        <w:rPr>
          <w:rFonts w:asciiTheme="minorHAnsi" w:hAnsiTheme="minorHAnsi" w:cstheme="minorHAnsi"/>
          <w:szCs w:val="26"/>
        </w:rPr>
        <w:t xml:space="preserve"> </w:t>
      </w:r>
      <w:r w:rsidRPr="00B66402">
        <w:rPr>
          <w:rFonts w:asciiTheme="minorHAnsi" w:hAnsiTheme="minorHAnsi" w:cstheme="minorHAnsi"/>
          <w:i/>
          <w:iCs/>
          <w:szCs w:val="26"/>
        </w:rPr>
        <w:t>Total Client Service Capacity for Region</w:t>
      </w:r>
      <w:r w:rsidR="00B66402" w:rsidRPr="00B66402">
        <w:rPr>
          <w:rFonts w:asciiTheme="minorHAnsi" w:hAnsiTheme="minorHAnsi" w:cstheme="minorHAnsi"/>
          <w:i/>
          <w:iCs/>
          <w:szCs w:val="26"/>
        </w:rPr>
        <w:t xml:space="preserve"> “X”</w:t>
      </w:r>
      <w:r w:rsidR="00B66402" w:rsidRPr="00B66402">
        <w:rPr>
          <w:rFonts w:asciiTheme="minorHAnsi" w:hAnsiTheme="minorHAnsi" w:cstheme="minorHAnsi"/>
          <w:szCs w:val="26"/>
        </w:rPr>
        <w:t>?</w:t>
      </w:r>
      <w:r w:rsidRPr="0025231C">
        <w:rPr>
          <w:rFonts w:asciiTheme="minorHAnsi" w:hAnsiTheme="minorHAnsi" w:cstheme="minorHAnsi"/>
          <w:b/>
          <w:bCs/>
          <w:szCs w:val="26"/>
        </w:rPr>
        <w:t xml:space="preserve"> </w:t>
      </w:r>
      <w:r w:rsidRPr="0025231C">
        <w:rPr>
          <w:rFonts w:asciiTheme="minorHAnsi" w:hAnsiTheme="minorHAnsi" w:cstheme="minorHAnsi"/>
          <w:szCs w:val="26"/>
        </w:rPr>
        <w:t> </w:t>
      </w:r>
    </w:p>
    <w:p w14:paraId="5D4AC566" w14:textId="4A401C3C" w:rsidR="00B66402" w:rsidRDefault="00B66402" w:rsidP="00A957C4">
      <w:pPr>
        <w:numPr>
          <w:ilvl w:val="1"/>
          <w:numId w:val="1"/>
        </w:numPr>
        <w:tabs>
          <w:tab w:val="clear" w:pos="810"/>
          <w:tab w:val="num" w:pos="1080"/>
        </w:tabs>
        <w:autoSpaceDE w:val="0"/>
        <w:autoSpaceDN w:val="0"/>
        <w:adjustRightInd w:val="0"/>
        <w:ind w:left="1080" w:hanging="720"/>
        <w:jc w:val="both"/>
        <w:rPr>
          <w:rFonts w:ascii="Calibri" w:hAnsi="Calibri" w:cs="Calibri"/>
          <w:b/>
        </w:rPr>
      </w:pPr>
      <w:r>
        <w:rPr>
          <w:rFonts w:ascii="Calibri" w:hAnsi="Calibri" w:cs="Calibri"/>
          <w:b/>
        </w:rPr>
        <w:t>Each Budget Form Template has the following:</w:t>
      </w:r>
    </w:p>
    <w:p w14:paraId="188819AB" w14:textId="384D6FDE" w:rsidR="00B66402" w:rsidRDefault="00B66402" w:rsidP="00B66402">
      <w:pPr>
        <w:autoSpaceDE w:val="0"/>
        <w:autoSpaceDN w:val="0"/>
        <w:adjustRightInd w:val="0"/>
        <w:ind w:left="1080"/>
        <w:jc w:val="both"/>
        <w:rPr>
          <w:rFonts w:ascii="Calibri" w:hAnsi="Calibri" w:cs="Calibri"/>
          <w:b/>
        </w:rPr>
      </w:pPr>
    </w:p>
    <w:tbl>
      <w:tblPr>
        <w:tblW w:w="0" w:type="auto"/>
        <w:tblInd w:w="11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040"/>
        <w:gridCol w:w="1440"/>
      </w:tblGrid>
      <w:tr w:rsidR="00B66402" w:rsidRPr="00C1371B" w14:paraId="772DDD66" w14:textId="77777777" w:rsidTr="00B66402">
        <w:tc>
          <w:tcPr>
            <w:tcW w:w="5040" w:type="dxa"/>
            <w:shd w:val="clear" w:color="auto" w:fill="auto"/>
            <w:noWrap/>
            <w:tcMar>
              <w:top w:w="72" w:type="dxa"/>
              <w:left w:w="115" w:type="dxa"/>
              <w:bottom w:w="72" w:type="dxa"/>
              <w:right w:w="115" w:type="dxa"/>
            </w:tcMar>
            <w:vAlign w:val="center"/>
          </w:tcPr>
          <w:p w14:paraId="00A9C167" w14:textId="4993DB64" w:rsidR="00B66402" w:rsidRPr="00C1371B" w:rsidRDefault="00B66402" w:rsidP="000E35A2">
            <w:pPr>
              <w:rPr>
                <w:rFonts w:ascii="Calibri" w:hAnsi="Calibri" w:cs="Arial"/>
                <w:b/>
                <w:bCs/>
                <w:szCs w:val="26"/>
              </w:rPr>
            </w:pPr>
            <w:r w:rsidRPr="00C1371B">
              <w:rPr>
                <w:rFonts w:ascii="Calibri" w:hAnsi="Calibri" w:cs="Calibri"/>
                <w:b/>
                <w:bCs/>
                <w:szCs w:val="26"/>
              </w:rPr>
              <w:t xml:space="preserve">Total Client Service Capacity for Region </w:t>
            </w:r>
            <w:r>
              <w:rPr>
                <w:rFonts w:ascii="Calibri" w:hAnsi="Calibri" w:cs="Calibri"/>
                <w:b/>
                <w:bCs/>
                <w:szCs w:val="26"/>
              </w:rPr>
              <w:t>[X]</w:t>
            </w:r>
          </w:p>
        </w:tc>
        <w:tc>
          <w:tcPr>
            <w:tcW w:w="1440" w:type="dxa"/>
            <w:shd w:val="clear" w:color="auto" w:fill="auto"/>
            <w:noWrap/>
            <w:tcMar>
              <w:top w:w="72" w:type="dxa"/>
              <w:left w:w="115" w:type="dxa"/>
              <w:bottom w:w="72" w:type="dxa"/>
              <w:right w:w="115" w:type="dxa"/>
            </w:tcMar>
            <w:vAlign w:val="center"/>
          </w:tcPr>
          <w:p w14:paraId="0B6D3243" w14:textId="77777777" w:rsidR="00B66402" w:rsidRPr="00C1371B" w:rsidRDefault="00B66402" w:rsidP="000E35A2">
            <w:pPr>
              <w:rPr>
                <w:rFonts w:ascii="Calibri" w:hAnsi="Calibri" w:cs="Arial"/>
                <w:b/>
                <w:bCs/>
                <w:szCs w:val="26"/>
              </w:rPr>
            </w:pPr>
            <w:r w:rsidRPr="00C1371B">
              <w:rPr>
                <w:rFonts w:ascii="Calibri" w:hAnsi="Calibri" w:cs="Arial"/>
                <w:b/>
                <w:bCs/>
                <w:szCs w:val="26"/>
              </w:rPr>
              <w:fldChar w:fldCharType="begin">
                <w:ffData>
                  <w:name w:val="Text59"/>
                  <w:enabled/>
                  <w:calcOnExit w:val="0"/>
                  <w:textInput/>
                </w:ffData>
              </w:fldChar>
            </w:r>
            <w:r w:rsidRPr="00C1371B">
              <w:rPr>
                <w:rFonts w:ascii="Calibri" w:hAnsi="Calibri" w:cs="Arial"/>
                <w:b/>
                <w:bCs/>
                <w:szCs w:val="26"/>
              </w:rPr>
              <w:instrText xml:space="preserve"> FORMTEXT </w:instrText>
            </w:r>
            <w:r w:rsidRPr="00C1371B">
              <w:rPr>
                <w:rFonts w:ascii="Calibri" w:hAnsi="Calibri" w:cs="Arial"/>
                <w:b/>
                <w:bCs/>
                <w:szCs w:val="26"/>
              </w:rPr>
            </w:r>
            <w:r w:rsidRPr="00C1371B">
              <w:rPr>
                <w:rFonts w:ascii="Calibri" w:hAnsi="Calibri" w:cs="Arial"/>
                <w:b/>
                <w:bCs/>
                <w:szCs w:val="26"/>
              </w:rPr>
              <w:fldChar w:fldCharType="separate"/>
            </w:r>
            <w:r w:rsidRPr="00C1371B">
              <w:rPr>
                <w:rFonts w:ascii="Calibri" w:hAnsi="Calibri" w:cs="Arial"/>
                <w:b/>
                <w:bCs/>
                <w:noProof/>
                <w:szCs w:val="26"/>
              </w:rPr>
              <w:t> </w:t>
            </w:r>
            <w:r w:rsidRPr="00C1371B">
              <w:rPr>
                <w:rFonts w:ascii="Calibri" w:hAnsi="Calibri" w:cs="Arial"/>
                <w:b/>
                <w:bCs/>
                <w:noProof/>
                <w:szCs w:val="26"/>
              </w:rPr>
              <w:t> </w:t>
            </w:r>
            <w:r w:rsidRPr="00C1371B">
              <w:rPr>
                <w:rFonts w:ascii="Calibri" w:hAnsi="Calibri" w:cs="Arial"/>
                <w:b/>
                <w:bCs/>
                <w:noProof/>
                <w:szCs w:val="26"/>
              </w:rPr>
              <w:t> </w:t>
            </w:r>
            <w:r w:rsidRPr="00C1371B">
              <w:rPr>
                <w:rFonts w:ascii="Calibri" w:hAnsi="Calibri" w:cs="Arial"/>
                <w:b/>
                <w:bCs/>
                <w:noProof/>
                <w:szCs w:val="26"/>
              </w:rPr>
              <w:t> </w:t>
            </w:r>
            <w:r w:rsidRPr="00C1371B">
              <w:rPr>
                <w:rFonts w:ascii="Calibri" w:hAnsi="Calibri" w:cs="Arial"/>
                <w:b/>
                <w:bCs/>
                <w:noProof/>
                <w:szCs w:val="26"/>
              </w:rPr>
              <w:t> </w:t>
            </w:r>
            <w:r w:rsidRPr="00C1371B">
              <w:rPr>
                <w:rFonts w:ascii="Calibri" w:hAnsi="Calibri" w:cs="Arial"/>
                <w:b/>
                <w:bCs/>
                <w:szCs w:val="26"/>
              </w:rPr>
              <w:fldChar w:fldCharType="end"/>
            </w:r>
          </w:p>
        </w:tc>
      </w:tr>
    </w:tbl>
    <w:p w14:paraId="0DC95AB6" w14:textId="77777777" w:rsidR="00B66402" w:rsidRDefault="00B66402" w:rsidP="00B66402">
      <w:pPr>
        <w:autoSpaceDE w:val="0"/>
        <w:autoSpaceDN w:val="0"/>
        <w:adjustRightInd w:val="0"/>
        <w:ind w:left="1080"/>
        <w:jc w:val="both"/>
        <w:rPr>
          <w:rFonts w:ascii="Calibri" w:hAnsi="Calibri" w:cs="Calibri"/>
          <w:b/>
        </w:rPr>
      </w:pPr>
    </w:p>
    <w:p w14:paraId="1A92BB68" w14:textId="4DF0EA6D" w:rsidR="006114BA" w:rsidRPr="0025231C" w:rsidRDefault="00B66402" w:rsidP="00B66402">
      <w:pPr>
        <w:autoSpaceDE w:val="0"/>
        <w:autoSpaceDN w:val="0"/>
        <w:adjustRightInd w:val="0"/>
        <w:ind w:left="1080"/>
        <w:jc w:val="both"/>
        <w:rPr>
          <w:rFonts w:ascii="Calibri" w:hAnsi="Calibri" w:cs="Calibri"/>
          <w:b/>
        </w:rPr>
      </w:pPr>
      <w:r>
        <w:rPr>
          <w:rFonts w:ascii="Calibri" w:hAnsi="Calibri" w:cs="Calibri"/>
          <w:b/>
        </w:rPr>
        <w:t xml:space="preserve">Bidders should provide the number of youth it anticipates to service in that </w:t>
      </w:r>
      <w:r w:rsidR="002C1A36">
        <w:rPr>
          <w:rFonts w:ascii="Calibri" w:hAnsi="Calibri" w:cs="Calibri"/>
          <w:b/>
        </w:rPr>
        <w:t xml:space="preserve">proposed </w:t>
      </w:r>
      <w:r>
        <w:rPr>
          <w:rFonts w:ascii="Calibri" w:hAnsi="Calibri" w:cs="Calibri"/>
          <w:b/>
        </w:rPr>
        <w:t>Region</w:t>
      </w:r>
      <w:r w:rsidR="002C1A36">
        <w:rPr>
          <w:rFonts w:ascii="Calibri" w:hAnsi="Calibri" w:cs="Calibri"/>
          <w:b/>
        </w:rPr>
        <w:t xml:space="preserve"> over a 12-month period</w:t>
      </w:r>
      <w:r>
        <w:rPr>
          <w:rFonts w:ascii="Calibri" w:hAnsi="Calibri" w:cs="Calibri"/>
          <w:b/>
        </w:rPr>
        <w:t xml:space="preserve">.  </w:t>
      </w:r>
      <w:r w:rsidR="0025231C" w:rsidRPr="0025231C">
        <w:rPr>
          <w:rFonts w:ascii="Calibri" w:hAnsi="Calibri" w:cs="Calibri"/>
          <w:b/>
        </w:rPr>
        <w:t>Youth will not be eligible for two regions</w:t>
      </w:r>
      <w:r>
        <w:rPr>
          <w:rFonts w:ascii="Calibri" w:hAnsi="Calibri" w:cs="Calibri"/>
          <w:b/>
        </w:rPr>
        <w:t xml:space="preserve">—referred youth will be assigned by its DPO and/or the County, primarily based on </w:t>
      </w:r>
      <w:r w:rsidR="0025231C" w:rsidRPr="0025231C">
        <w:rPr>
          <w:rFonts w:ascii="Calibri" w:hAnsi="Calibri" w:cs="Calibri"/>
          <w:b/>
        </w:rPr>
        <w:t>residence</w:t>
      </w:r>
      <w:r>
        <w:rPr>
          <w:rFonts w:ascii="Calibri" w:hAnsi="Calibri" w:cs="Calibri"/>
          <w:b/>
        </w:rPr>
        <w:t xml:space="preserve">.  </w:t>
      </w:r>
    </w:p>
    <w:p w14:paraId="6544BF6F" w14:textId="77777777" w:rsidR="006114BA" w:rsidRPr="00985AE1" w:rsidRDefault="006114BA" w:rsidP="00A957C4">
      <w:pPr>
        <w:tabs>
          <w:tab w:val="num" w:pos="1080"/>
        </w:tabs>
        <w:ind w:left="1080" w:hanging="720"/>
        <w:jc w:val="both"/>
        <w:rPr>
          <w:rFonts w:ascii="Calibri" w:hAnsi="Calibri" w:cs="Calibri"/>
        </w:rPr>
      </w:pPr>
    </w:p>
    <w:p w14:paraId="52CFEBA6" w14:textId="74488089" w:rsidR="004D242F" w:rsidRPr="002C1A36" w:rsidRDefault="004C25D1" w:rsidP="002C1A36">
      <w:pPr>
        <w:keepNext/>
        <w:numPr>
          <w:ilvl w:val="0"/>
          <w:numId w:val="1"/>
        </w:numPr>
        <w:tabs>
          <w:tab w:val="num" w:pos="1080"/>
        </w:tabs>
        <w:ind w:left="1080" w:hanging="720"/>
        <w:jc w:val="both"/>
        <w:rPr>
          <w:rFonts w:ascii="Calibri" w:hAnsi="Calibri" w:cs="Calibri"/>
          <w:b/>
        </w:rPr>
      </w:pPr>
      <w:r>
        <w:rPr>
          <w:rFonts w:ascii="Calibri" w:hAnsi="Calibri" w:cs="Calibri"/>
        </w:rPr>
        <w:t xml:space="preserve">Page 5 of the RFP, Section A, </w:t>
      </w:r>
      <w:r w:rsidR="002C1A36">
        <w:rPr>
          <w:rFonts w:ascii="Calibri" w:hAnsi="Calibri" w:cs="Calibri"/>
        </w:rPr>
        <w:t xml:space="preserve">third paragraph </w:t>
      </w:r>
      <w:r>
        <w:rPr>
          <w:rFonts w:ascii="Calibri" w:hAnsi="Calibri" w:cs="Calibri"/>
        </w:rPr>
        <w:t>states:</w:t>
      </w:r>
    </w:p>
    <w:p w14:paraId="1C9942C0" w14:textId="0506E33E" w:rsidR="002C1A36" w:rsidRPr="002C1A36" w:rsidRDefault="002C1A36" w:rsidP="00EA08AF">
      <w:pPr>
        <w:pStyle w:val="ListParagraph"/>
        <w:spacing w:before="240" w:after="240"/>
        <w:ind w:left="1530"/>
        <w:jc w:val="both"/>
        <w:rPr>
          <w:rFonts w:ascii="Calibri" w:hAnsi="Calibri" w:cs="Calibri"/>
          <w:i/>
          <w:iCs/>
        </w:rPr>
      </w:pPr>
      <w:r w:rsidRPr="002C1A36">
        <w:rPr>
          <w:rFonts w:ascii="Calibri" w:hAnsi="Calibri" w:cs="Calibri"/>
          <w:i/>
          <w:iCs/>
        </w:rPr>
        <w:t xml:space="preserve">The County intends to award a two-year contract (with options to renew for up to five total years) </w:t>
      </w:r>
      <w:r>
        <w:rPr>
          <w:rFonts w:ascii="Calibri" w:hAnsi="Calibri" w:cs="Calibri"/>
          <w:i/>
          <w:iCs/>
        </w:rPr>
        <w:t>…</w:t>
      </w:r>
      <w:r w:rsidRPr="002C1A36">
        <w:rPr>
          <w:rFonts w:ascii="Calibri" w:hAnsi="Calibri" w:cs="Calibri"/>
          <w:i/>
          <w:iCs/>
        </w:rPr>
        <w:t xml:space="preserve"> to serve </w:t>
      </w:r>
      <w:r>
        <w:rPr>
          <w:rFonts w:ascii="Calibri" w:hAnsi="Calibri" w:cs="Calibri"/>
          <w:i/>
          <w:iCs/>
        </w:rPr>
        <w:t>…</w:t>
      </w:r>
      <w:r w:rsidRPr="002C1A36">
        <w:rPr>
          <w:rFonts w:ascii="Calibri" w:hAnsi="Calibri" w:cs="Calibri"/>
          <w:i/>
          <w:iCs/>
        </w:rPr>
        <w:t xml:space="preserve"> designated regions of Alameda County:  </w:t>
      </w:r>
      <w:r w:rsidRPr="002C1A36">
        <w:rPr>
          <w:rFonts w:ascii="Calibri" w:hAnsi="Calibri" w:cs="Calibri"/>
          <w:b/>
          <w:i/>
          <w:iCs/>
        </w:rPr>
        <w:t>Region 1</w:t>
      </w:r>
      <w:r w:rsidRPr="002C1A36">
        <w:rPr>
          <w:rFonts w:ascii="Calibri" w:hAnsi="Calibri" w:cs="Calibri"/>
          <w:i/>
          <w:iCs/>
        </w:rPr>
        <w:t xml:space="preserve"> (Oakland); </w:t>
      </w:r>
      <w:r w:rsidRPr="002C1A36">
        <w:rPr>
          <w:rFonts w:ascii="Calibri" w:hAnsi="Calibri" w:cs="Calibri"/>
          <w:b/>
          <w:i/>
          <w:iCs/>
        </w:rPr>
        <w:t>Region 2</w:t>
      </w:r>
      <w:r w:rsidRPr="002C1A36">
        <w:rPr>
          <w:rFonts w:ascii="Calibri" w:hAnsi="Calibri" w:cs="Calibri"/>
          <w:i/>
          <w:iCs/>
        </w:rPr>
        <w:t xml:space="preserve"> (Hayward); </w:t>
      </w:r>
      <w:r w:rsidRPr="002C1A36">
        <w:rPr>
          <w:rFonts w:ascii="Calibri" w:hAnsi="Calibri" w:cs="Calibri"/>
          <w:b/>
          <w:i/>
          <w:iCs/>
        </w:rPr>
        <w:t>Region 3</w:t>
      </w:r>
      <w:r w:rsidRPr="002C1A36">
        <w:rPr>
          <w:rFonts w:ascii="Calibri" w:hAnsi="Calibri" w:cs="Calibri"/>
          <w:i/>
          <w:iCs/>
        </w:rPr>
        <w:t xml:space="preserve"> (Castro Valley, Fremont, Newark, San Leandro, San Lorenzo Union City); </w:t>
      </w:r>
      <w:r w:rsidRPr="002C1A36">
        <w:rPr>
          <w:rFonts w:ascii="Calibri" w:hAnsi="Calibri" w:cs="Calibri"/>
          <w:b/>
          <w:i/>
          <w:iCs/>
        </w:rPr>
        <w:t>Region 4</w:t>
      </w:r>
      <w:r w:rsidRPr="002C1A36">
        <w:rPr>
          <w:rFonts w:ascii="Calibri" w:hAnsi="Calibri" w:cs="Calibri"/>
          <w:i/>
          <w:iCs/>
        </w:rPr>
        <w:t xml:space="preserve"> (Alameda, Albany, Berkeley, Emeryville, Piedmont); and </w:t>
      </w:r>
      <w:r w:rsidRPr="002C1A36">
        <w:rPr>
          <w:rFonts w:ascii="Calibri" w:hAnsi="Calibri" w:cs="Calibri"/>
          <w:b/>
          <w:i/>
          <w:iCs/>
        </w:rPr>
        <w:t>Region 5</w:t>
      </w:r>
      <w:r w:rsidRPr="002C1A36">
        <w:rPr>
          <w:rFonts w:ascii="Calibri" w:hAnsi="Calibri" w:cs="Calibri"/>
          <w:i/>
          <w:iCs/>
        </w:rPr>
        <w:t xml:space="preserve"> (Dublin, Livermore). In their proposal, Bidders should specify the region(s) for which its organization has capacity and intention to provide services. </w:t>
      </w:r>
    </w:p>
    <w:p w14:paraId="64B2D6F1" w14:textId="04B59012" w:rsidR="002C1A36" w:rsidRDefault="002C1A36" w:rsidP="00A957C4">
      <w:pPr>
        <w:tabs>
          <w:tab w:val="num" w:pos="1080"/>
        </w:tabs>
        <w:ind w:left="1080"/>
        <w:jc w:val="both"/>
        <w:rPr>
          <w:rFonts w:ascii="Calibri" w:hAnsi="Calibri" w:cs="Calibri"/>
        </w:rPr>
      </w:pPr>
      <w:r>
        <w:rPr>
          <w:rFonts w:ascii="Calibri" w:hAnsi="Calibri" w:cs="Calibri"/>
        </w:rPr>
        <w:lastRenderedPageBreak/>
        <w:t xml:space="preserve">In the past, the County has separated Region 3 into two sub-regions:  one region for the Tri-Cities (Fremont, Newark, and Union City) and a separate region for </w:t>
      </w:r>
      <w:r w:rsidR="004C25D1" w:rsidRPr="00F72947">
        <w:rPr>
          <w:rFonts w:ascii="Calibri" w:hAnsi="Calibri" w:cs="Calibri"/>
        </w:rPr>
        <w:t>Castro Valley, San Leandro and San Lorenzo?</w:t>
      </w:r>
      <w:r>
        <w:rPr>
          <w:rFonts w:ascii="Calibri" w:hAnsi="Calibri" w:cs="Calibri"/>
        </w:rPr>
        <w:t xml:space="preserve">  Would the County consider doing that for this</w:t>
      </w:r>
      <w:r w:rsidR="008939AF">
        <w:rPr>
          <w:rFonts w:ascii="Calibri" w:hAnsi="Calibri" w:cs="Calibri"/>
        </w:rPr>
        <w:t xml:space="preserve"> </w:t>
      </w:r>
      <w:r>
        <w:rPr>
          <w:rFonts w:ascii="Calibri" w:hAnsi="Calibri" w:cs="Calibri"/>
        </w:rPr>
        <w:t>RFP</w:t>
      </w:r>
      <w:r w:rsidR="004C25D1" w:rsidRPr="00F72947">
        <w:rPr>
          <w:rFonts w:ascii="Calibri" w:hAnsi="Calibri" w:cs="Calibri"/>
        </w:rPr>
        <w:t xml:space="preserve">? </w:t>
      </w:r>
    </w:p>
    <w:p w14:paraId="43504054" w14:textId="77777777" w:rsidR="002C1A36" w:rsidRDefault="002C1A36" w:rsidP="00A957C4">
      <w:pPr>
        <w:tabs>
          <w:tab w:val="num" w:pos="1080"/>
        </w:tabs>
        <w:ind w:left="1080"/>
        <w:jc w:val="both"/>
        <w:rPr>
          <w:rFonts w:ascii="Calibri" w:hAnsi="Calibri" w:cs="Calibri"/>
        </w:rPr>
      </w:pPr>
    </w:p>
    <w:p w14:paraId="69D06756" w14:textId="1AA01B06" w:rsidR="004C25D1" w:rsidRDefault="004C25D1" w:rsidP="00A957C4">
      <w:pPr>
        <w:tabs>
          <w:tab w:val="num" w:pos="1080"/>
        </w:tabs>
        <w:ind w:left="1080"/>
        <w:jc w:val="both"/>
        <w:rPr>
          <w:rFonts w:ascii="Calibri" w:hAnsi="Calibri" w:cs="Calibri"/>
        </w:rPr>
      </w:pPr>
      <w:r w:rsidRPr="00F72947">
        <w:rPr>
          <w:rFonts w:ascii="Calibri" w:hAnsi="Calibri" w:cs="Calibri"/>
        </w:rPr>
        <w:t xml:space="preserve">Also, </w:t>
      </w:r>
      <w:r w:rsidR="002C1A36">
        <w:rPr>
          <w:rFonts w:ascii="Calibri" w:hAnsi="Calibri" w:cs="Calibri"/>
        </w:rPr>
        <w:t xml:space="preserve">should </w:t>
      </w:r>
      <w:r w:rsidRPr="00F72947">
        <w:rPr>
          <w:rFonts w:ascii="Calibri" w:hAnsi="Calibri" w:cs="Calibri"/>
        </w:rPr>
        <w:t xml:space="preserve">Region 5 </w:t>
      </w:r>
      <w:r w:rsidR="002C1A36">
        <w:rPr>
          <w:rFonts w:ascii="Calibri" w:hAnsi="Calibri" w:cs="Calibri"/>
        </w:rPr>
        <w:t>also include P</w:t>
      </w:r>
      <w:r w:rsidRPr="00F72947">
        <w:rPr>
          <w:rFonts w:ascii="Calibri" w:hAnsi="Calibri" w:cs="Calibri"/>
        </w:rPr>
        <w:t>leasanton?</w:t>
      </w:r>
    </w:p>
    <w:p w14:paraId="451674EB" w14:textId="65EEE0B1" w:rsidR="002C1A36" w:rsidRDefault="002C1A36" w:rsidP="000E35A2">
      <w:pPr>
        <w:numPr>
          <w:ilvl w:val="1"/>
          <w:numId w:val="1"/>
        </w:numPr>
        <w:tabs>
          <w:tab w:val="clear" w:pos="810"/>
          <w:tab w:val="num" w:pos="1080"/>
        </w:tabs>
        <w:autoSpaceDE w:val="0"/>
        <w:autoSpaceDN w:val="0"/>
        <w:adjustRightInd w:val="0"/>
        <w:ind w:left="1080" w:hanging="720"/>
        <w:jc w:val="both"/>
        <w:rPr>
          <w:rFonts w:ascii="Calibri" w:hAnsi="Calibri" w:cs="Calibri"/>
          <w:b/>
          <w:bCs/>
        </w:rPr>
      </w:pPr>
      <w:r w:rsidRPr="00EA08AF">
        <w:rPr>
          <w:rFonts w:ascii="Calibri" w:hAnsi="Calibri" w:cs="Calibri"/>
          <w:b/>
          <w:bCs/>
        </w:rPr>
        <w:t xml:space="preserve">The County has made revisions </w:t>
      </w:r>
      <w:r w:rsidR="00EA08AF">
        <w:rPr>
          <w:rFonts w:ascii="Calibri" w:hAnsi="Calibri" w:cs="Calibri"/>
          <w:b/>
          <w:bCs/>
        </w:rPr>
        <w:t>that</w:t>
      </w:r>
      <w:r w:rsidRPr="00EA08AF">
        <w:rPr>
          <w:rFonts w:ascii="Calibri" w:hAnsi="Calibri" w:cs="Calibri"/>
          <w:b/>
          <w:bCs/>
        </w:rPr>
        <w:t xml:space="preserve"> can be found in Addendum No. 1</w:t>
      </w:r>
      <w:r w:rsidR="00EA08AF">
        <w:rPr>
          <w:rFonts w:ascii="Calibri" w:hAnsi="Calibri" w:cs="Calibri"/>
          <w:b/>
          <w:bCs/>
        </w:rPr>
        <w:t>, which</w:t>
      </w:r>
      <w:r w:rsidR="00EA08AF" w:rsidRPr="00EA08AF">
        <w:rPr>
          <w:rFonts w:ascii="Calibri" w:hAnsi="Calibri" w:cs="Calibri"/>
          <w:b/>
          <w:bCs/>
        </w:rPr>
        <w:t xml:space="preserve"> are also </w:t>
      </w:r>
      <w:r w:rsidR="00EA08AF">
        <w:rPr>
          <w:rFonts w:ascii="Calibri" w:hAnsi="Calibri" w:cs="Calibri"/>
          <w:b/>
          <w:bCs/>
        </w:rPr>
        <w:t>summarized in the table</w:t>
      </w:r>
      <w:r w:rsidR="00EA08AF" w:rsidRPr="00EA08AF">
        <w:rPr>
          <w:rFonts w:ascii="Calibri" w:hAnsi="Calibri" w:cs="Calibri"/>
          <w:b/>
          <w:bCs/>
        </w:rPr>
        <w:t xml:space="preserve"> below </w:t>
      </w:r>
      <w:r w:rsidRPr="00EA08AF">
        <w:rPr>
          <w:rFonts w:ascii="Calibri" w:hAnsi="Calibri" w:cs="Calibri"/>
          <w:b/>
          <w:bCs/>
        </w:rPr>
        <w:t>for ease of convenience</w:t>
      </w:r>
      <w:r w:rsidR="00EA08AF" w:rsidRPr="00EA08AF">
        <w:rPr>
          <w:rFonts w:ascii="Calibri" w:hAnsi="Calibri" w:cs="Calibri"/>
          <w:b/>
          <w:bCs/>
        </w:rPr>
        <w:t>:</w:t>
      </w:r>
    </w:p>
    <w:p w14:paraId="32DD4A48" w14:textId="5929E97A" w:rsidR="00EA08AF" w:rsidRDefault="00EA08AF"/>
    <w:tbl>
      <w:tblPr>
        <w:tblW w:w="9615" w:type="dxa"/>
        <w:tblInd w:w="1070" w:type="dxa"/>
        <w:tblCellMar>
          <w:left w:w="0" w:type="dxa"/>
          <w:right w:w="0" w:type="dxa"/>
        </w:tblCellMar>
        <w:tblLook w:val="04A0" w:firstRow="1" w:lastRow="0" w:firstColumn="1" w:lastColumn="0" w:noHBand="0" w:noVBand="1"/>
      </w:tblPr>
      <w:tblGrid>
        <w:gridCol w:w="1296"/>
        <w:gridCol w:w="4287"/>
        <w:gridCol w:w="2160"/>
        <w:gridCol w:w="1872"/>
      </w:tblGrid>
      <w:tr w:rsidR="00EA08AF" w:rsidRPr="00EA08AF" w14:paraId="17E93475" w14:textId="77777777" w:rsidTr="00EA08AF">
        <w:trPr>
          <w:trHeight w:val="20"/>
        </w:trPr>
        <w:tc>
          <w:tcPr>
            <w:tcW w:w="5583" w:type="dxa"/>
            <w:gridSpan w:val="2"/>
            <w:tcBorders>
              <w:top w:val="single" w:sz="18" w:space="0" w:color="000000"/>
              <w:left w:val="single" w:sz="18" w:space="0" w:color="000000"/>
              <w:bottom w:val="single" w:sz="18" w:space="0" w:color="000000"/>
              <w:right w:val="single" w:sz="18" w:space="0" w:color="000000"/>
            </w:tcBorders>
            <w:shd w:val="clear" w:color="auto" w:fill="D9E2F3" w:themeFill="accent5" w:themeFillTint="33"/>
            <w:tcMar>
              <w:top w:w="15" w:type="dxa"/>
              <w:left w:w="108" w:type="dxa"/>
              <w:bottom w:w="0" w:type="dxa"/>
              <w:right w:w="108" w:type="dxa"/>
            </w:tcMar>
            <w:vAlign w:val="center"/>
          </w:tcPr>
          <w:p w14:paraId="73C0B284" w14:textId="5F900331" w:rsidR="00EA08AF" w:rsidRPr="00EA08AF" w:rsidRDefault="00EA08AF" w:rsidP="00EA08AF">
            <w:pPr>
              <w:spacing w:line="252" w:lineRule="auto"/>
              <w:rPr>
                <w:rFonts w:ascii="Calibri" w:eastAsia="Calibri" w:hAnsi="Calibri" w:cs="Calibri"/>
                <w:b/>
                <w:bCs/>
                <w:sz w:val="22"/>
                <w:szCs w:val="22"/>
              </w:rPr>
            </w:pPr>
            <w:r>
              <w:rPr>
                <w:rFonts w:ascii="Calibri" w:eastAsia="Calibri" w:hAnsi="Calibri" w:cs="Calibri"/>
                <w:b/>
                <w:bCs/>
                <w:sz w:val="22"/>
                <w:szCs w:val="22"/>
              </w:rPr>
              <w:t>Region</w:t>
            </w:r>
          </w:p>
        </w:tc>
        <w:tc>
          <w:tcPr>
            <w:tcW w:w="2160" w:type="dxa"/>
            <w:tcBorders>
              <w:top w:val="single" w:sz="18" w:space="0" w:color="000000"/>
              <w:left w:val="single" w:sz="18" w:space="0" w:color="000000"/>
              <w:bottom w:val="single" w:sz="18" w:space="0" w:color="000000"/>
              <w:right w:val="single" w:sz="18" w:space="0" w:color="000000"/>
            </w:tcBorders>
            <w:shd w:val="clear" w:color="auto" w:fill="D9E2F3" w:themeFill="accent5" w:themeFillTint="33"/>
            <w:tcMar>
              <w:top w:w="15" w:type="dxa"/>
              <w:left w:w="108" w:type="dxa"/>
              <w:bottom w:w="0" w:type="dxa"/>
              <w:right w:w="108" w:type="dxa"/>
            </w:tcMar>
            <w:vAlign w:val="center"/>
          </w:tcPr>
          <w:p w14:paraId="428D62DF" w14:textId="1A4380EB" w:rsidR="00EA08AF" w:rsidRPr="00EA08AF" w:rsidRDefault="00EA08AF" w:rsidP="00EA08AF">
            <w:pPr>
              <w:spacing w:line="252" w:lineRule="auto"/>
              <w:jc w:val="center"/>
              <w:rPr>
                <w:rFonts w:ascii="Calibri" w:eastAsia="Calibri" w:hAnsi="Calibri" w:cs="Calibri"/>
                <w:b/>
                <w:bCs/>
                <w:sz w:val="22"/>
                <w:szCs w:val="22"/>
              </w:rPr>
            </w:pPr>
            <w:r w:rsidRPr="00EA08AF">
              <w:rPr>
                <w:rFonts w:ascii="Calibri" w:eastAsia="Calibri" w:hAnsi="Calibri" w:cs="Calibri"/>
                <w:b/>
                <w:bCs/>
                <w:color w:val="000000"/>
                <w:sz w:val="22"/>
                <w:szCs w:val="22"/>
              </w:rPr>
              <w:t>Percentage of Youth</w:t>
            </w:r>
          </w:p>
        </w:tc>
        <w:tc>
          <w:tcPr>
            <w:tcW w:w="1872" w:type="dxa"/>
            <w:tcBorders>
              <w:top w:val="single" w:sz="18" w:space="0" w:color="000000"/>
              <w:left w:val="single" w:sz="18" w:space="0" w:color="000000"/>
              <w:bottom w:val="single" w:sz="18" w:space="0" w:color="000000"/>
              <w:right w:val="single" w:sz="18" w:space="0" w:color="000000"/>
            </w:tcBorders>
            <w:shd w:val="clear" w:color="auto" w:fill="D9E2F3" w:themeFill="accent5" w:themeFillTint="33"/>
            <w:tcMar>
              <w:top w:w="15" w:type="dxa"/>
              <w:left w:w="108" w:type="dxa"/>
              <w:bottom w:w="0" w:type="dxa"/>
              <w:right w:w="108" w:type="dxa"/>
            </w:tcMar>
            <w:vAlign w:val="center"/>
          </w:tcPr>
          <w:p w14:paraId="2AB579AF" w14:textId="32D75F32" w:rsidR="00EA08AF" w:rsidRPr="00EA08AF" w:rsidRDefault="00EA08AF" w:rsidP="00EA08AF">
            <w:pPr>
              <w:spacing w:line="252" w:lineRule="auto"/>
              <w:jc w:val="center"/>
              <w:rPr>
                <w:rFonts w:ascii="Calibri" w:eastAsia="Calibri" w:hAnsi="Calibri" w:cs="Calibri"/>
                <w:sz w:val="22"/>
                <w:szCs w:val="22"/>
              </w:rPr>
            </w:pPr>
            <w:r w:rsidRPr="00EA08AF">
              <w:rPr>
                <w:rFonts w:ascii="Calibri" w:eastAsia="Calibri" w:hAnsi="Calibri" w:cs="Calibri"/>
                <w:b/>
                <w:bCs/>
                <w:color w:val="000000"/>
                <w:sz w:val="22"/>
                <w:szCs w:val="22"/>
              </w:rPr>
              <w:t>Funding Amount</w:t>
            </w:r>
          </w:p>
          <w:p w14:paraId="4516D4A9" w14:textId="0F09FEE7" w:rsidR="00EA08AF" w:rsidRPr="00EA08AF" w:rsidRDefault="00EA08AF" w:rsidP="00EA08AF">
            <w:pPr>
              <w:spacing w:line="252" w:lineRule="auto"/>
              <w:jc w:val="center"/>
              <w:rPr>
                <w:rFonts w:ascii="Calibri" w:eastAsia="Calibri" w:hAnsi="Calibri" w:cs="Calibri"/>
                <w:b/>
                <w:bCs/>
                <w:sz w:val="22"/>
                <w:szCs w:val="22"/>
              </w:rPr>
            </w:pPr>
            <w:r w:rsidRPr="00EA08AF">
              <w:rPr>
                <w:rFonts w:ascii="Calibri" w:eastAsia="Calibri" w:hAnsi="Calibri" w:cs="Calibri"/>
                <w:b/>
                <w:bCs/>
                <w:color w:val="000000"/>
                <w:sz w:val="22"/>
                <w:szCs w:val="22"/>
              </w:rPr>
              <w:t>(per year)</w:t>
            </w:r>
          </w:p>
        </w:tc>
      </w:tr>
      <w:tr w:rsidR="00EA08AF" w:rsidRPr="00EA08AF" w14:paraId="57627478" w14:textId="77777777" w:rsidTr="00EA08AF">
        <w:trPr>
          <w:trHeight w:val="20"/>
        </w:trPr>
        <w:tc>
          <w:tcPr>
            <w:tcW w:w="1296" w:type="dxa"/>
            <w:tcBorders>
              <w:top w:val="single" w:sz="18" w:space="0" w:color="000000"/>
              <w:left w:val="single" w:sz="8" w:space="0" w:color="000000"/>
              <w:bottom w:val="single" w:sz="8" w:space="0" w:color="000000"/>
              <w:right w:val="single" w:sz="8" w:space="0" w:color="000000"/>
            </w:tcBorders>
            <w:tcMar>
              <w:top w:w="29" w:type="dxa"/>
              <w:left w:w="115" w:type="dxa"/>
              <w:bottom w:w="29" w:type="dxa"/>
              <w:right w:w="115" w:type="dxa"/>
            </w:tcMar>
            <w:vAlign w:val="center"/>
            <w:hideMark/>
          </w:tcPr>
          <w:p w14:paraId="03EBAF25" w14:textId="77777777" w:rsidR="00EA08AF" w:rsidRPr="00EA08AF" w:rsidRDefault="00EA08AF" w:rsidP="00EA08AF">
            <w:pPr>
              <w:spacing w:line="252" w:lineRule="auto"/>
              <w:rPr>
                <w:rFonts w:ascii="Calibri" w:eastAsia="Calibri" w:hAnsi="Calibri" w:cs="Calibri"/>
                <w:sz w:val="22"/>
                <w:szCs w:val="22"/>
              </w:rPr>
            </w:pPr>
            <w:r w:rsidRPr="00EA08AF">
              <w:rPr>
                <w:rFonts w:ascii="Calibri" w:eastAsia="Calibri" w:hAnsi="Calibri" w:cs="Calibri"/>
                <w:b/>
                <w:bCs/>
                <w:sz w:val="22"/>
                <w:szCs w:val="22"/>
              </w:rPr>
              <w:t>Region 1</w:t>
            </w:r>
          </w:p>
        </w:tc>
        <w:tc>
          <w:tcPr>
            <w:tcW w:w="4287" w:type="dxa"/>
            <w:tcBorders>
              <w:top w:val="single" w:sz="18" w:space="0" w:color="000000"/>
              <w:left w:val="nil"/>
              <w:bottom w:val="single" w:sz="8" w:space="0" w:color="000000"/>
              <w:right w:val="single" w:sz="8" w:space="0" w:color="000000"/>
            </w:tcBorders>
            <w:tcMar>
              <w:top w:w="29" w:type="dxa"/>
              <w:left w:w="115" w:type="dxa"/>
              <w:bottom w:w="29" w:type="dxa"/>
              <w:right w:w="115" w:type="dxa"/>
            </w:tcMar>
            <w:vAlign w:val="center"/>
            <w:hideMark/>
          </w:tcPr>
          <w:p w14:paraId="03AACEB3" w14:textId="77777777" w:rsidR="00EA08AF" w:rsidRPr="00EA08AF" w:rsidRDefault="00EA08AF" w:rsidP="00EA08AF">
            <w:pPr>
              <w:spacing w:line="252" w:lineRule="auto"/>
              <w:rPr>
                <w:rFonts w:ascii="Calibri" w:eastAsia="Calibri" w:hAnsi="Calibri" w:cs="Calibri"/>
                <w:sz w:val="22"/>
                <w:szCs w:val="22"/>
              </w:rPr>
            </w:pPr>
            <w:r w:rsidRPr="00EA08AF">
              <w:rPr>
                <w:rFonts w:ascii="Calibri" w:eastAsia="Calibri" w:hAnsi="Calibri" w:cs="Calibri"/>
                <w:b/>
                <w:bCs/>
                <w:sz w:val="22"/>
                <w:szCs w:val="22"/>
              </w:rPr>
              <w:t>Oakland</w:t>
            </w:r>
          </w:p>
        </w:tc>
        <w:tc>
          <w:tcPr>
            <w:tcW w:w="2160" w:type="dxa"/>
            <w:tcBorders>
              <w:top w:val="single" w:sz="18" w:space="0" w:color="000000"/>
              <w:left w:val="nil"/>
              <w:bottom w:val="single" w:sz="8" w:space="0" w:color="000000"/>
              <w:right w:val="single" w:sz="8" w:space="0" w:color="000000"/>
            </w:tcBorders>
            <w:tcMar>
              <w:top w:w="29" w:type="dxa"/>
              <w:left w:w="115" w:type="dxa"/>
              <w:bottom w:w="29" w:type="dxa"/>
              <w:right w:w="115" w:type="dxa"/>
            </w:tcMar>
            <w:vAlign w:val="center"/>
            <w:hideMark/>
          </w:tcPr>
          <w:p w14:paraId="4AC85B9B" w14:textId="77777777" w:rsidR="00EA08AF" w:rsidRPr="00EA08AF" w:rsidRDefault="00EA08AF" w:rsidP="00EA08AF">
            <w:pPr>
              <w:spacing w:line="252" w:lineRule="auto"/>
              <w:jc w:val="center"/>
              <w:rPr>
                <w:rFonts w:ascii="Calibri" w:eastAsia="Calibri" w:hAnsi="Calibri" w:cs="Calibri"/>
                <w:sz w:val="22"/>
                <w:szCs w:val="22"/>
              </w:rPr>
            </w:pPr>
            <w:r w:rsidRPr="00EA08AF">
              <w:rPr>
                <w:rFonts w:ascii="Calibri" w:eastAsia="Calibri" w:hAnsi="Calibri" w:cs="Calibri"/>
                <w:b/>
                <w:bCs/>
                <w:sz w:val="22"/>
                <w:szCs w:val="22"/>
              </w:rPr>
              <w:t>46%</w:t>
            </w:r>
          </w:p>
        </w:tc>
        <w:tc>
          <w:tcPr>
            <w:tcW w:w="1872" w:type="dxa"/>
            <w:tcBorders>
              <w:top w:val="single" w:sz="18" w:space="0" w:color="000000"/>
              <w:left w:val="nil"/>
              <w:bottom w:val="single" w:sz="8" w:space="0" w:color="000000"/>
              <w:right w:val="single" w:sz="8" w:space="0" w:color="000000"/>
            </w:tcBorders>
            <w:tcMar>
              <w:top w:w="29" w:type="dxa"/>
              <w:left w:w="115" w:type="dxa"/>
              <w:bottom w:w="29" w:type="dxa"/>
              <w:right w:w="115" w:type="dxa"/>
            </w:tcMar>
            <w:vAlign w:val="center"/>
            <w:hideMark/>
          </w:tcPr>
          <w:p w14:paraId="036F1417" w14:textId="48EF8921" w:rsidR="00EA08AF" w:rsidRPr="00EA08AF" w:rsidRDefault="00EA08AF" w:rsidP="00EA08AF">
            <w:pPr>
              <w:spacing w:line="252" w:lineRule="auto"/>
              <w:jc w:val="center"/>
              <w:rPr>
                <w:rFonts w:ascii="Calibri" w:eastAsia="Calibri" w:hAnsi="Calibri" w:cs="Calibri"/>
                <w:sz w:val="22"/>
                <w:szCs w:val="22"/>
              </w:rPr>
            </w:pPr>
            <w:r w:rsidRPr="00EA08AF">
              <w:rPr>
                <w:rFonts w:ascii="Calibri" w:eastAsia="Calibri" w:hAnsi="Calibri" w:cs="Calibri"/>
                <w:b/>
                <w:bCs/>
                <w:sz w:val="22"/>
                <w:szCs w:val="22"/>
              </w:rPr>
              <w:t>$</w:t>
            </w:r>
            <w:r>
              <w:rPr>
                <w:rFonts w:ascii="Calibri" w:eastAsia="Calibri" w:hAnsi="Calibri" w:cs="Calibri"/>
                <w:b/>
                <w:bCs/>
                <w:sz w:val="22"/>
                <w:szCs w:val="22"/>
              </w:rPr>
              <w:t>460,000</w:t>
            </w:r>
          </w:p>
        </w:tc>
      </w:tr>
      <w:tr w:rsidR="00EA08AF" w:rsidRPr="00EA08AF" w14:paraId="23F5E1F4" w14:textId="77777777" w:rsidTr="00EA08AF">
        <w:trPr>
          <w:trHeight w:val="20"/>
        </w:trPr>
        <w:tc>
          <w:tcPr>
            <w:tcW w:w="1296" w:type="dxa"/>
            <w:tcBorders>
              <w:top w:val="nil"/>
              <w:left w:val="single" w:sz="8" w:space="0" w:color="000000"/>
              <w:bottom w:val="single" w:sz="8" w:space="0" w:color="000000"/>
              <w:right w:val="single" w:sz="8" w:space="0" w:color="000000"/>
            </w:tcBorders>
            <w:tcMar>
              <w:top w:w="29" w:type="dxa"/>
              <w:left w:w="115" w:type="dxa"/>
              <w:bottom w:w="29" w:type="dxa"/>
              <w:right w:w="115" w:type="dxa"/>
            </w:tcMar>
            <w:vAlign w:val="center"/>
            <w:hideMark/>
          </w:tcPr>
          <w:p w14:paraId="771B0FAF" w14:textId="77777777" w:rsidR="00EA08AF" w:rsidRPr="00EA08AF" w:rsidRDefault="00EA08AF" w:rsidP="00EA08AF">
            <w:pPr>
              <w:spacing w:line="252" w:lineRule="auto"/>
              <w:rPr>
                <w:rFonts w:ascii="Calibri" w:eastAsia="Calibri" w:hAnsi="Calibri" w:cs="Calibri"/>
                <w:sz w:val="22"/>
                <w:szCs w:val="22"/>
              </w:rPr>
            </w:pPr>
            <w:r w:rsidRPr="00EA08AF">
              <w:rPr>
                <w:rFonts w:ascii="Calibri" w:eastAsia="Calibri" w:hAnsi="Calibri" w:cs="Calibri"/>
                <w:b/>
                <w:bCs/>
                <w:sz w:val="22"/>
                <w:szCs w:val="22"/>
              </w:rPr>
              <w:t>Region 2</w:t>
            </w:r>
          </w:p>
        </w:tc>
        <w:tc>
          <w:tcPr>
            <w:tcW w:w="4287" w:type="dxa"/>
            <w:tcBorders>
              <w:top w:val="nil"/>
              <w:left w:val="nil"/>
              <w:bottom w:val="single" w:sz="8" w:space="0" w:color="000000"/>
              <w:right w:val="single" w:sz="8" w:space="0" w:color="000000"/>
            </w:tcBorders>
            <w:tcMar>
              <w:top w:w="29" w:type="dxa"/>
              <w:left w:w="115" w:type="dxa"/>
              <w:bottom w:w="29" w:type="dxa"/>
              <w:right w:w="115" w:type="dxa"/>
            </w:tcMar>
            <w:vAlign w:val="center"/>
            <w:hideMark/>
          </w:tcPr>
          <w:p w14:paraId="6435A296" w14:textId="77777777" w:rsidR="00EA08AF" w:rsidRPr="00EA08AF" w:rsidRDefault="00EA08AF" w:rsidP="00EA08AF">
            <w:pPr>
              <w:spacing w:line="252" w:lineRule="auto"/>
              <w:rPr>
                <w:rFonts w:ascii="Calibri" w:eastAsia="Calibri" w:hAnsi="Calibri" w:cs="Calibri"/>
                <w:sz w:val="22"/>
                <w:szCs w:val="22"/>
              </w:rPr>
            </w:pPr>
            <w:r w:rsidRPr="00EA08AF">
              <w:rPr>
                <w:rFonts w:ascii="Calibri" w:eastAsia="Calibri" w:hAnsi="Calibri" w:cs="Calibri"/>
                <w:b/>
                <w:bCs/>
                <w:sz w:val="22"/>
                <w:szCs w:val="22"/>
              </w:rPr>
              <w:t>Hayward</w:t>
            </w:r>
          </w:p>
        </w:tc>
        <w:tc>
          <w:tcPr>
            <w:tcW w:w="2160" w:type="dxa"/>
            <w:tcBorders>
              <w:top w:val="nil"/>
              <w:left w:val="nil"/>
              <w:bottom w:val="single" w:sz="8" w:space="0" w:color="000000"/>
              <w:right w:val="single" w:sz="8" w:space="0" w:color="000000"/>
            </w:tcBorders>
            <w:tcMar>
              <w:top w:w="29" w:type="dxa"/>
              <w:left w:w="115" w:type="dxa"/>
              <w:bottom w:w="29" w:type="dxa"/>
              <w:right w:w="115" w:type="dxa"/>
            </w:tcMar>
            <w:vAlign w:val="center"/>
            <w:hideMark/>
          </w:tcPr>
          <w:p w14:paraId="78AB31A0" w14:textId="77777777" w:rsidR="00EA08AF" w:rsidRPr="00EA08AF" w:rsidRDefault="00EA08AF" w:rsidP="00EA08AF">
            <w:pPr>
              <w:spacing w:line="252" w:lineRule="auto"/>
              <w:jc w:val="center"/>
              <w:rPr>
                <w:rFonts w:ascii="Calibri" w:eastAsia="Calibri" w:hAnsi="Calibri" w:cs="Calibri"/>
                <w:sz w:val="22"/>
                <w:szCs w:val="22"/>
              </w:rPr>
            </w:pPr>
            <w:r w:rsidRPr="00EA08AF">
              <w:rPr>
                <w:rFonts w:ascii="Calibri" w:eastAsia="Calibri" w:hAnsi="Calibri" w:cs="Calibri"/>
                <w:b/>
                <w:bCs/>
                <w:sz w:val="22"/>
                <w:szCs w:val="22"/>
              </w:rPr>
              <w:t>21%</w:t>
            </w:r>
          </w:p>
        </w:tc>
        <w:tc>
          <w:tcPr>
            <w:tcW w:w="1872" w:type="dxa"/>
            <w:tcBorders>
              <w:top w:val="nil"/>
              <w:left w:val="nil"/>
              <w:bottom w:val="single" w:sz="8" w:space="0" w:color="000000"/>
              <w:right w:val="single" w:sz="8" w:space="0" w:color="000000"/>
            </w:tcBorders>
            <w:tcMar>
              <w:top w:w="29" w:type="dxa"/>
              <w:left w:w="115" w:type="dxa"/>
              <w:bottom w:w="29" w:type="dxa"/>
              <w:right w:w="115" w:type="dxa"/>
            </w:tcMar>
            <w:vAlign w:val="center"/>
            <w:hideMark/>
          </w:tcPr>
          <w:p w14:paraId="5A9BBEDC" w14:textId="2DA43E57" w:rsidR="00EA08AF" w:rsidRPr="00EA08AF" w:rsidRDefault="00EA08AF" w:rsidP="00EA08AF">
            <w:pPr>
              <w:spacing w:line="252" w:lineRule="auto"/>
              <w:jc w:val="center"/>
              <w:rPr>
                <w:rFonts w:ascii="Calibri" w:eastAsia="Calibri" w:hAnsi="Calibri" w:cs="Calibri"/>
                <w:sz w:val="22"/>
                <w:szCs w:val="22"/>
              </w:rPr>
            </w:pPr>
            <w:r w:rsidRPr="00EA08AF">
              <w:rPr>
                <w:rFonts w:ascii="Calibri" w:eastAsia="Calibri" w:hAnsi="Calibri" w:cs="Calibri"/>
                <w:b/>
                <w:bCs/>
                <w:sz w:val="22"/>
                <w:szCs w:val="22"/>
              </w:rPr>
              <w:t>$</w:t>
            </w:r>
            <w:r>
              <w:rPr>
                <w:rFonts w:ascii="Calibri" w:eastAsia="Calibri" w:hAnsi="Calibri" w:cs="Calibri"/>
                <w:b/>
                <w:bCs/>
                <w:sz w:val="22"/>
                <w:szCs w:val="22"/>
              </w:rPr>
              <w:t>210</w:t>
            </w:r>
            <w:r w:rsidRPr="00EA08AF">
              <w:rPr>
                <w:rFonts w:ascii="Calibri" w:eastAsia="Calibri" w:hAnsi="Calibri" w:cs="Calibri"/>
                <w:b/>
                <w:bCs/>
                <w:sz w:val="22"/>
                <w:szCs w:val="22"/>
              </w:rPr>
              <w:t>,000</w:t>
            </w:r>
          </w:p>
        </w:tc>
      </w:tr>
      <w:tr w:rsidR="00EA08AF" w:rsidRPr="00EA08AF" w14:paraId="524573CF" w14:textId="77777777" w:rsidTr="00EA08AF">
        <w:trPr>
          <w:trHeight w:val="20"/>
        </w:trPr>
        <w:tc>
          <w:tcPr>
            <w:tcW w:w="1296" w:type="dxa"/>
            <w:tcBorders>
              <w:top w:val="nil"/>
              <w:left w:val="single" w:sz="8" w:space="0" w:color="000000"/>
              <w:bottom w:val="single" w:sz="8" w:space="0" w:color="000000"/>
              <w:right w:val="single" w:sz="8" w:space="0" w:color="000000"/>
            </w:tcBorders>
            <w:tcMar>
              <w:top w:w="29" w:type="dxa"/>
              <w:left w:w="115" w:type="dxa"/>
              <w:bottom w:w="29" w:type="dxa"/>
              <w:right w:w="115" w:type="dxa"/>
            </w:tcMar>
            <w:vAlign w:val="center"/>
            <w:hideMark/>
          </w:tcPr>
          <w:p w14:paraId="2AEA13ED" w14:textId="77777777" w:rsidR="00EA08AF" w:rsidRPr="00EA08AF" w:rsidRDefault="00EA08AF" w:rsidP="00EA08AF">
            <w:pPr>
              <w:spacing w:line="252" w:lineRule="auto"/>
              <w:rPr>
                <w:rFonts w:ascii="Calibri" w:eastAsia="Calibri" w:hAnsi="Calibri" w:cs="Calibri"/>
                <w:sz w:val="22"/>
                <w:szCs w:val="22"/>
              </w:rPr>
            </w:pPr>
            <w:r w:rsidRPr="00EA08AF">
              <w:rPr>
                <w:rFonts w:ascii="Calibri" w:eastAsia="Calibri" w:hAnsi="Calibri" w:cs="Calibri"/>
                <w:b/>
                <w:bCs/>
                <w:sz w:val="22"/>
                <w:szCs w:val="22"/>
              </w:rPr>
              <w:t>Region 3a</w:t>
            </w:r>
          </w:p>
        </w:tc>
        <w:tc>
          <w:tcPr>
            <w:tcW w:w="4287" w:type="dxa"/>
            <w:tcBorders>
              <w:top w:val="nil"/>
              <w:left w:val="nil"/>
              <w:bottom w:val="single" w:sz="8" w:space="0" w:color="000000"/>
              <w:right w:val="single" w:sz="8" w:space="0" w:color="000000"/>
            </w:tcBorders>
            <w:tcMar>
              <w:top w:w="29" w:type="dxa"/>
              <w:left w:w="115" w:type="dxa"/>
              <w:bottom w:w="29" w:type="dxa"/>
              <w:right w:w="115" w:type="dxa"/>
            </w:tcMar>
            <w:vAlign w:val="center"/>
            <w:hideMark/>
          </w:tcPr>
          <w:p w14:paraId="710B2D1B" w14:textId="77777777" w:rsidR="00EA08AF" w:rsidRPr="00EA08AF" w:rsidRDefault="00EA08AF" w:rsidP="00EA08AF">
            <w:pPr>
              <w:spacing w:line="252" w:lineRule="auto"/>
              <w:rPr>
                <w:rFonts w:ascii="Calibri" w:eastAsia="Calibri" w:hAnsi="Calibri" w:cs="Calibri"/>
                <w:sz w:val="22"/>
                <w:szCs w:val="22"/>
              </w:rPr>
            </w:pPr>
            <w:r w:rsidRPr="00EA08AF">
              <w:rPr>
                <w:rFonts w:ascii="Calibri" w:eastAsia="Calibri" w:hAnsi="Calibri" w:cs="Calibri"/>
                <w:b/>
                <w:bCs/>
                <w:sz w:val="22"/>
                <w:szCs w:val="22"/>
              </w:rPr>
              <w:t xml:space="preserve">Castro Valley, San Leandro, and San Lorenzo, </w:t>
            </w:r>
          </w:p>
        </w:tc>
        <w:tc>
          <w:tcPr>
            <w:tcW w:w="2160" w:type="dxa"/>
            <w:tcBorders>
              <w:top w:val="nil"/>
              <w:left w:val="nil"/>
              <w:bottom w:val="single" w:sz="8" w:space="0" w:color="000000"/>
              <w:right w:val="single" w:sz="8" w:space="0" w:color="000000"/>
            </w:tcBorders>
            <w:tcMar>
              <w:top w:w="29" w:type="dxa"/>
              <w:left w:w="115" w:type="dxa"/>
              <w:bottom w:w="29" w:type="dxa"/>
              <w:right w:w="115" w:type="dxa"/>
            </w:tcMar>
            <w:vAlign w:val="center"/>
            <w:hideMark/>
          </w:tcPr>
          <w:p w14:paraId="54CE65FC" w14:textId="77777777" w:rsidR="00EA08AF" w:rsidRPr="00EA08AF" w:rsidRDefault="00EA08AF" w:rsidP="00EA08AF">
            <w:pPr>
              <w:spacing w:line="252" w:lineRule="auto"/>
              <w:jc w:val="center"/>
              <w:rPr>
                <w:rFonts w:ascii="Calibri" w:eastAsia="Calibri" w:hAnsi="Calibri" w:cs="Calibri"/>
                <w:sz w:val="22"/>
                <w:szCs w:val="22"/>
              </w:rPr>
            </w:pPr>
            <w:r w:rsidRPr="00EA08AF">
              <w:rPr>
                <w:rFonts w:ascii="Calibri" w:eastAsia="Calibri" w:hAnsi="Calibri" w:cs="Calibri"/>
                <w:b/>
                <w:bCs/>
                <w:sz w:val="22"/>
                <w:szCs w:val="22"/>
              </w:rPr>
              <w:t>10%</w:t>
            </w:r>
          </w:p>
        </w:tc>
        <w:tc>
          <w:tcPr>
            <w:tcW w:w="1872" w:type="dxa"/>
            <w:tcBorders>
              <w:top w:val="nil"/>
              <w:left w:val="nil"/>
              <w:bottom w:val="single" w:sz="8" w:space="0" w:color="000000"/>
              <w:right w:val="single" w:sz="8" w:space="0" w:color="000000"/>
            </w:tcBorders>
            <w:tcMar>
              <w:top w:w="29" w:type="dxa"/>
              <w:left w:w="115" w:type="dxa"/>
              <w:bottom w:w="29" w:type="dxa"/>
              <w:right w:w="115" w:type="dxa"/>
            </w:tcMar>
            <w:vAlign w:val="center"/>
            <w:hideMark/>
          </w:tcPr>
          <w:p w14:paraId="0D2B5415" w14:textId="25148A89" w:rsidR="00EA08AF" w:rsidRPr="00EA08AF" w:rsidRDefault="00EA08AF" w:rsidP="00EA08AF">
            <w:pPr>
              <w:spacing w:line="252" w:lineRule="auto"/>
              <w:jc w:val="center"/>
              <w:rPr>
                <w:rFonts w:ascii="Calibri" w:eastAsia="Calibri" w:hAnsi="Calibri" w:cs="Calibri"/>
                <w:sz w:val="22"/>
                <w:szCs w:val="22"/>
              </w:rPr>
            </w:pPr>
            <w:r w:rsidRPr="00EA08AF">
              <w:rPr>
                <w:rFonts w:ascii="Calibri" w:eastAsia="Calibri" w:hAnsi="Calibri" w:cs="Calibri"/>
                <w:b/>
                <w:bCs/>
                <w:sz w:val="22"/>
                <w:szCs w:val="22"/>
              </w:rPr>
              <w:t>$</w:t>
            </w:r>
            <w:r>
              <w:rPr>
                <w:rFonts w:ascii="Calibri" w:eastAsia="Calibri" w:hAnsi="Calibri" w:cs="Calibri"/>
                <w:b/>
                <w:bCs/>
                <w:sz w:val="22"/>
                <w:szCs w:val="22"/>
              </w:rPr>
              <w:t>1</w:t>
            </w:r>
            <w:r w:rsidRPr="00EA08AF">
              <w:rPr>
                <w:rFonts w:ascii="Calibri" w:eastAsia="Calibri" w:hAnsi="Calibri" w:cs="Calibri"/>
                <w:b/>
                <w:bCs/>
                <w:sz w:val="22"/>
                <w:szCs w:val="22"/>
              </w:rPr>
              <w:t>00,000</w:t>
            </w:r>
          </w:p>
        </w:tc>
      </w:tr>
      <w:tr w:rsidR="00EA08AF" w:rsidRPr="00EA08AF" w14:paraId="4C562BA7" w14:textId="77777777" w:rsidTr="00EA08AF">
        <w:trPr>
          <w:trHeight w:val="20"/>
        </w:trPr>
        <w:tc>
          <w:tcPr>
            <w:tcW w:w="1296" w:type="dxa"/>
            <w:tcBorders>
              <w:top w:val="nil"/>
              <w:left w:val="single" w:sz="8" w:space="0" w:color="000000"/>
              <w:bottom w:val="single" w:sz="8" w:space="0" w:color="000000"/>
              <w:right w:val="single" w:sz="8" w:space="0" w:color="000000"/>
            </w:tcBorders>
            <w:tcMar>
              <w:top w:w="29" w:type="dxa"/>
              <w:left w:w="115" w:type="dxa"/>
              <w:bottom w:w="29" w:type="dxa"/>
              <w:right w:w="115" w:type="dxa"/>
            </w:tcMar>
            <w:vAlign w:val="center"/>
            <w:hideMark/>
          </w:tcPr>
          <w:p w14:paraId="4D789F4B" w14:textId="77777777" w:rsidR="00EA08AF" w:rsidRPr="00EA08AF" w:rsidRDefault="00EA08AF" w:rsidP="00EA08AF">
            <w:pPr>
              <w:spacing w:line="252" w:lineRule="auto"/>
              <w:rPr>
                <w:rFonts w:ascii="Calibri" w:eastAsia="Calibri" w:hAnsi="Calibri" w:cs="Calibri"/>
                <w:sz w:val="22"/>
                <w:szCs w:val="22"/>
              </w:rPr>
            </w:pPr>
            <w:r w:rsidRPr="00EA08AF">
              <w:rPr>
                <w:rFonts w:ascii="Calibri" w:eastAsia="Calibri" w:hAnsi="Calibri" w:cs="Calibri"/>
                <w:b/>
                <w:bCs/>
                <w:sz w:val="22"/>
                <w:szCs w:val="22"/>
              </w:rPr>
              <w:t>Region 3b</w:t>
            </w:r>
          </w:p>
        </w:tc>
        <w:tc>
          <w:tcPr>
            <w:tcW w:w="4287" w:type="dxa"/>
            <w:tcBorders>
              <w:top w:val="nil"/>
              <w:left w:val="nil"/>
              <w:bottom w:val="single" w:sz="8" w:space="0" w:color="000000"/>
              <w:right w:val="single" w:sz="8" w:space="0" w:color="000000"/>
            </w:tcBorders>
            <w:tcMar>
              <w:top w:w="29" w:type="dxa"/>
              <w:left w:w="115" w:type="dxa"/>
              <w:bottom w:w="29" w:type="dxa"/>
              <w:right w:w="115" w:type="dxa"/>
            </w:tcMar>
            <w:vAlign w:val="center"/>
            <w:hideMark/>
          </w:tcPr>
          <w:p w14:paraId="2783EAF2" w14:textId="77777777" w:rsidR="00EA08AF" w:rsidRPr="00EA08AF" w:rsidRDefault="00EA08AF" w:rsidP="00EA08AF">
            <w:pPr>
              <w:spacing w:line="252" w:lineRule="auto"/>
              <w:rPr>
                <w:rFonts w:ascii="Calibri" w:eastAsia="Calibri" w:hAnsi="Calibri" w:cs="Calibri"/>
                <w:sz w:val="22"/>
                <w:szCs w:val="22"/>
              </w:rPr>
            </w:pPr>
            <w:r w:rsidRPr="00EA08AF">
              <w:rPr>
                <w:rFonts w:ascii="Calibri" w:eastAsia="Calibri" w:hAnsi="Calibri" w:cs="Calibri"/>
                <w:b/>
                <w:bCs/>
                <w:sz w:val="22"/>
                <w:szCs w:val="22"/>
              </w:rPr>
              <w:t>Fremont, Newark, and Union City</w:t>
            </w:r>
          </w:p>
        </w:tc>
        <w:tc>
          <w:tcPr>
            <w:tcW w:w="2160" w:type="dxa"/>
            <w:tcBorders>
              <w:top w:val="nil"/>
              <w:left w:val="nil"/>
              <w:bottom w:val="single" w:sz="8" w:space="0" w:color="000000"/>
              <w:right w:val="single" w:sz="8" w:space="0" w:color="000000"/>
            </w:tcBorders>
            <w:tcMar>
              <w:top w:w="29" w:type="dxa"/>
              <w:left w:w="115" w:type="dxa"/>
              <w:bottom w:w="29" w:type="dxa"/>
              <w:right w:w="115" w:type="dxa"/>
            </w:tcMar>
            <w:vAlign w:val="center"/>
            <w:hideMark/>
          </w:tcPr>
          <w:p w14:paraId="0AD91292" w14:textId="77777777" w:rsidR="00EA08AF" w:rsidRPr="00EA08AF" w:rsidRDefault="00EA08AF" w:rsidP="00EA08AF">
            <w:pPr>
              <w:spacing w:line="252" w:lineRule="auto"/>
              <w:jc w:val="center"/>
              <w:rPr>
                <w:rFonts w:ascii="Calibri" w:eastAsia="Calibri" w:hAnsi="Calibri" w:cs="Calibri"/>
                <w:sz w:val="22"/>
                <w:szCs w:val="22"/>
              </w:rPr>
            </w:pPr>
            <w:r w:rsidRPr="00EA08AF">
              <w:rPr>
                <w:rFonts w:ascii="Calibri" w:eastAsia="Calibri" w:hAnsi="Calibri" w:cs="Calibri"/>
                <w:b/>
                <w:bCs/>
                <w:sz w:val="22"/>
                <w:szCs w:val="22"/>
              </w:rPr>
              <w:t>9%</w:t>
            </w:r>
          </w:p>
        </w:tc>
        <w:tc>
          <w:tcPr>
            <w:tcW w:w="1872" w:type="dxa"/>
            <w:tcBorders>
              <w:top w:val="nil"/>
              <w:left w:val="nil"/>
              <w:bottom w:val="single" w:sz="8" w:space="0" w:color="000000"/>
              <w:right w:val="single" w:sz="8" w:space="0" w:color="000000"/>
            </w:tcBorders>
            <w:tcMar>
              <w:top w:w="29" w:type="dxa"/>
              <w:left w:w="115" w:type="dxa"/>
              <w:bottom w:w="29" w:type="dxa"/>
              <w:right w:w="115" w:type="dxa"/>
            </w:tcMar>
            <w:vAlign w:val="center"/>
            <w:hideMark/>
          </w:tcPr>
          <w:p w14:paraId="44AA178C" w14:textId="54595B32" w:rsidR="00EA08AF" w:rsidRPr="00EA08AF" w:rsidRDefault="00EA08AF" w:rsidP="00EA08AF">
            <w:pPr>
              <w:spacing w:line="252" w:lineRule="auto"/>
              <w:jc w:val="center"/>
              <w:rPr>
                <w:rFonts w:ascii="Calibri" w:eastAsia="Calibri" w:hAnsi="Calibri" w:cs="Calibri"/>
                <w:sz w:val="22"/>
                <w:szCs w:val="22"/>
              </w:rPr>
            </w:pPr>
            <w:r w:rsidRPr="00EA08AF">
              <w:rPr>
                <w:rFonts w:ascii="Calibri" w:eastAsia="Calibri" w:hAnsi="Calibri" w:cs="Calibri"/>
                <w:b/>
                <w:bCs/>
                <w:sz w:val="22"/>
                <w:szCs w:val="22"/>
              </w:rPr>
              <w:t>$</w:t>
            </w:r>
            <w:r>
              <w:rPr>
                <w:rFonts w:ascii="Calibri" w:eastAsia="Calibri" w:hAnsi="Calibri" w:cs="Calibri"/>
                <w:b/>
                <w:bCs/>
                <w:sz w:val="22"/>
                <w:szCs w:val="22"/>
              </w:rPr>
              <w:t>90</w:t>
            </w:r>
            <w:r w:rsidRPr="00EA08AF">
              <w:rPr>
                <w:rFonts w:ascii="Calibri" w:eastAsia="Calibri" w:hAnsi="Calibri" w:cs="Calibri"/>
                <w:b/>
                <w:bCs/>
                <w:sz w:val="22"/>
                <w:szCs w:val="22"/>
              </w:rPr>
              <w:t>,000</w:t>
            </w:r>
          </w:p>
        </w:tc>
      </w:tr>
      <w:tr w:rsidR="00EA08AF" w:rsidRPr="00EA08AF" w14:paraId="6D4574C5" w14:textId="77777777" w:rsidTr="00EA08AF">
        <w:trPr>
          <w:trHeight w:val="20"/>
        </w:trPr>
        <w:tc>
          <w:tcPr>
            <w:tcW w:w="1296" w:type="dxa"/>
            <w:tcBorders>
              <w:top w:val="nil"/>
              <w:left w:val="single" w:sz="8" w:space="0" w:color="000000"/>
              <w:bottom w:val="single" w:sz="8" w:space="0" w:color="000000"/>
              <w:right w:val="single" w:sz="8" w:space="0" w:color="000000"/>
            </w:tcBorders>
            <w:tcMar>
              <w:top w:w="29" w:type="dxa"/>
              <w:left w:w="115" w:type="dxa"/>
              <w:bottom w:w="29" w:type="dxa"/>
              <w:right w:w="115" w:type="dxa"/>
            </w:tcMar>
            <w:vAlign w:val="center"/>
            <w:hideMark/>
          </w:tcPr>
          <w:p w14:paraId="20D57EAF" w14:textId="77777777" w:rsidR="00EA08AF" w:rsidRPr="00EA08AF" w:rsidRDefault="00EA08AF" w:rsidP="00EA08AF">
            <w:pPr>
              <w:spacing w:line="252" w:lineRule="auto"/>
              <w:rPr>
                <w:rFonts w:ascii="Calibri" w:eastAsia="Calibri" w:hAnsi="Calibri" w:cs="Calibri"/>
                <w:sz w:val="22"/>
                <w:szCs w:val="22"/>
              </w:rPr>
            </w:pPr>
            <w:r w:rsidRPr="00EA08AF">
              <w:rPr>
                <w:rFonts w:ascii="Calibri" w:eastAsia="Calibri" w:hAnsi="Calibri" w:cs="Calibri"/>
                <w:b/>
                <w:bCs/>
                <w:sz w:val="22"/>
                <w:szCs w:val="22"/>
              </w:rPr>
              <w:t>Region 4</w:t>
            </w:r>
          </w:p>
        </w:tc>
        <w:tc>
          <w:tcPr>
            <w:tcW w:w="4287" w:type="dxa"/>
            <w:tcBorders>
              <w:top w:val="nil"/>
              <w:left w:val="nil"/>
              <w:bottom w:val="single" w:sz="8" w:space="0" w:color="000000"/>
              <w:right w:val="single" w:sz="8" w:space="0" w:color="000000"/>
            </w:tcBorders>
            <w:tcMar>
              <w:top w:w="29" w:type="dxa"/>
              <w:left w:w="115" w:type="dxa"/>
              <w:bottom w:w="29" w:type="dxa"/>
              <w:right w:w="115" w:type="dxa"/>
            </w:tcMar>
            <w:vAlign w:val="center"/>
            <w:hideMark/>
          </w:tcPr>
          <w:p w14:paraId="3969D152" w14:textId="77777777" w:rsidR="00EA08AF" w:rsidRPr="00EA08AF" w:rsidRDefault="00EA08AF" w:rsidP="00EA08AF">
            <w:pPr>
              <w:spacing w:line="252" w:lineRule="auto"/>
              <w:rPr>
                <w:rFonts w:ascii="Calibri" w:eastAsia="Calibri" w:hAnsi="Calibri" w:cs="Calibri"/>
                <w:sz w:val="22"/>
                <w:szCs w:val="22"/>
              </w:rPr>
            </w:pPr>
            <w:r w:rsidRPr="00EA08AF">
              <w:rPr>
                <w:rFonts w:ascii="Calibri" w:eastAsia="Calibri" w:hAnsi="Calibri" w:cs="Calibri"/>
                <w:b/>
                <w:bCs/>
                <w:sz w:val="22"/>
                <w:szCs w:val="22"/>
              </w:rPr>
              <w:t>Alameda, Albany, Berkeley, Emeryville, and Piedmont</w:t>
            </w:r>
          </w:p>
        </w:tc>
        <w:tc>
          <w:tcPr>
            <w:tcW w:w="2160" w:type="dxa"/>
            <w:tcBorders>
              <w:top w:val="nil"/>
              <w:left w:val="nil"/>
              <w:bottom w:val="single" w:sz="8" w:space="0" w:color="000000"/>
              <w:right w:val="single" w:sz="8" w:space="0" w:color="000000"/>
            </w:tcBorders>
            <w:tcMar>
              <w:top w:w="29" w:type="dxa"/>
              <w:left w:w="115" w:type="dxa"/>
              <w:bottom w:w="29" w:type="dxa"/>
              <w:right w:w="115" w:type="dxa"/>
            </w:tcMar>
            <w:vAlign w:val="center"/>
            <w:hideMark/>
          </w:tcPr>
          <w:p w14:paraId="2B901726" w14:textId="77777777" w:rsidR="00EA08AF" w:rsidRPr="00EA08AF" w:rsidRDefault="00EA08AF" w:rsidP="00EA08AF">
            <w:pPr>
              <w:spacing w:line="252" w:lineRule="auto"/>
              <w:jc w:val="center"/>
              <w:rPr>
                <w:rFonts w:ascii="Calibri" w:eastAsia="Calibri" w:hAnsi="Calibri" w:cs="Calibri"/>
                <w:sz w:val="22"/>
                <w:szCs w:val="22"/>
              </w:rPr>
            </w:pPr>
            <w:r w:rsidRPr="00EA08AF">
              <w:rPr>
                <w:rFonts w:ascii="Calibri" w:eastAsia="Calibri" w:hAnsi="Calibri" w:cs="Calibri"/>
                <w:b/>
                <w:bCs/>
                <w:sz w:val="22"/>
                <w:szCs w:val="22"/>
              </w:rPr>
              <w:t>9%</w:t>
            </w:r>
          </w:p>
        </w:tc>
        <w:tc>
          <w:tcPr>
            <w:tcW w:w="1872" w:type="dxa"/>
            <w:tcBorders>
              <w:top w:val="nil"/>
              <w:left w:val="nil"/>
              <w:bottom w:val="single" w:sz="8" w:space="0" w:color="000000"/>
              <w:right w:val="single" w:sz="8" w:space="0" w:color="000000"/>
            </w:tcBorders>
            <w:tcMar>
              <w:top w:w="29" w:type="dxa"/>
              <w:left w:w="115" w:type="dxa"/>
              <w:bottom w:w="29" w:type="dxa"/>
              <w:right w:w="115" w:type="dxa"/>
            </w:tcMar>
            <w:vAlign w:val="center"/>
            <w:hideMark/>
          </w:tcPr>
          <w:p w14:paraId="51D4D6E8" w14:textId="4E3A21B2" w:rsidR="00EA08AF" w:rsidRPr="00EA08AF" w:rsidRDefault="00EA08AF" w:rsidP="00EA08AF">
            <w:pPr>
              <w:spacing w:line="252" w:lineRule="auto"/>
              <w:jc w:val="center"/>
              <w:rPr>
                <w:rFonts w:ascii="Calibri" w:eastAsia="Calibri" w:hAnsi="Calibri" w:cs="Calibri"/>
                <w:sz w:val="22"/>
                <w:szCs w:val="22"/>
              </w:rPr>
            </w:pPr>
            <w:r w:rsidRPr="00EA08AF">
              <w:rPr>
                <w:rFonts w:ascii="Calibri" w:eastAsia="Calibri" w:hAnsi="Calibri" w:cs="Calibri"/>
                <w:b/>
                <w:bCs/>
                <w:sz w:val="22"/>
                <w:szCs w:val="22"/>
              </w:rPr>
              <w:t>$</w:t>
            </w:r>
            <w:r>
              <w:rPr>
                <w:rFonts w:ascii="Calibri" w:eastAsia="Calibri" w:hAnsi="Calibri" w:cs="Calibri"/>
                <w:b/>
                <w:bCs/>
                <w:sz w:val="22"/>
                <w:szCs w:val="22"/>
              </w:rPr>
              <w:t>90,</w:t>
            </w:r>
            <w:r w:rsidRPr="00EA08AF">
              <w:rPr>
                <w:rFonts w:ascii="Calibri" w:eastAsia="Calibri" w:hAnsi="Calibri" w:cs="Calibri"/>
                <w:b/>
                <w:bCs/>
                <w:sz w:val="22"/>
                <w:szCs w:val="22"/>
              </w:rPr>
              <w:t>000</w:t>
            </w:r>
          </w:p>
        </w:tc>
      </w:tr>
      <w:tr w:rsidR="00EA08AF" w:rsidRPr="00EA08AF" w14:paraId="01034E21" w14:textId="77777777" w:rsidTr="00EA08AF">
        <w:trPr>
          <w:trHeight w:val="20"/>
        </w:trPr>
        <w:tc>
          <w:tcPr>
            <w:tcW w:w="1296" w:type="dxa"/>
            <w:tcBorders>
              <w:top w:val="nil"/>
              <w:left w:val="single" w:sz="8" w:space="0" w:color="000000"/>
              <w:bottom w:val="single" w:sz="8" w:space="0" w:color="000000"/>
              <w:right w:val="single" w:sz="8" w:space="0" w:color="000000"/>
            </w:tcBorders>
            <w:tcMar>
              <w:top w:w="29" w:type="dxa"/>
              <w:left w:w="115" w:type="dxa"/>
              <w:bottom w:w="29" w:type="dxa"/>
              <w:right w:w="115" w:type="dxa"/>
            </w:tcMar>
            <w:vAlign w:val="center"/>
            <w:hideMark/>
          </w:tcPr>
          <w:p w14:paraId="1C9D9863" w14:textId="77777777" w:rsidR="00EA08AF" w:rsidRPr="00EA08AF" w:rsidRDefault="00EA08AF" w:rsidP="00EA08AF">
            <w:pPr>
              <w:spacing w:line="252" w:lineRule="auto"/>
              <w:rPr>
                <w:rFonts w:ascii="Calibri" w:eastAsia="Calibri" w:hAnsi="Calibri" w:cs="Calibri"/>
                <w:sz w:val="22"/>
                <w:szCs w:val="22"/>
              </w:rPr>
            </w:pPr>
            <w:r w:rsidRPr="00EA08AF">
              <w:rPr>
                <w:rFonts w:ascii="Calibri" w:eastAsia="Calibri" w:hAnsi="Calibri" w:cs="Calibri"/>
                <w:b/>
                <w:bCs/>
                <w:sz w:val="22"/>
                <w:szCs w:val="22"/>
              </w:rPr>
              <w:t>Region 5</w:t>
            </w:r>
          </w:p>
        </w:tc>
        <w:tc>
          <w:tcPr>
            <w:tcW w:w="4287" w:type="dxa"/>
            <w:tcBorders>
              <w:top w:val="nil"/>
              <w:left w:val="nil"/>
              <w:bottom w:val="single" w:sz="8" w:space="0" w:color="000000"/>
              <w:right w:val="single" w:sz="8" w:space="0" w:color="000000"/>
            </w:tcBorders>
            <w:tcMar>
              <w:top w:w="29" w:type="dxa"/>
              <w:left w:w="115" w:type="dxa"/>
              <w:bottom w:w="29" w:type="dxa"/>
              <w:right w:w="115" w:type="dxa"/>
            </w:tcMar>
            <w:vAlign w:val="center"/>
            <w:hideMark/>
          </w:tcPr>
          <w:p w14:paraId="64EBDA51" w14:textId="77777777" w:rsidR="00EA08AF" w:rsidRPr="00EA08AF" w:rsidRDefault="00EA08AF" w:rsidP="00EA08AF">
            <w:pPr>
              <w:spacing w:line="252" w:lineRule="auto"/>
              <w:rPr>
                <w:rFonts w:ascii="Calibri" w:eastAsia="Calibri" w:hAnsi="Calibri" w:cs="Calibri"/>
                <w:sz w:val="22"/>
                <w:szCs w:val="22"/>
              </w:rPr>
            </w:pPr>
            <w:r w:rsidRPr="00EA08AF">
              <w:rPr>
                <w:rFonts w:ascii="Calibri" w:eastAsia="Calibri" w:hAnsi="Calibri" w:cs="Calibri"/>
                <w:b/>
                <w:bCs/>
                <w:sz w:val="22"/>
                <w:szCs w:val="22"/>
              </w:rPr>
              <w:t>Dublin, Livermore, Pleasanton, Sunol</w:t>
            </w:r>
          </w:p>
        </w:tc>
        <w:tc>
          <w:tcPr>
            <w:tcW w:w="2160" w:type="dxa"/>
            <w:tcBorders>
              <w:top w:val="nil"/>
              <w:left w:val="nil"/>
              <w:bottom w:val="single" w:sz="8" w:space="0" w:color="000000"/>
              <w:right w:val="single" w:sz="8" w:space="0" w:color="000000"/>
            </w:tcBorders>
            <w:tcMar>
              <w:top w:w="29" w:type="dxa"/>
              <w:left w:w="115" w:type="dxa"/>
              <w:bottom w:w="29" w:type="dxa"/>
              <w:right w:w="115" w:type="dxa"/>
            </w:tcMar>
            <w:vAlign w:val="center"/>
            <w:hideMark/>
          </w:tcPr>
          <w:p w14:paraId="472332C9" w14:textId="77777777" w:rsidR="00EA08AF" w:rsidRPr="00EA08AF" w:rsidRDefault="00EA08AF" w:rsidP="00EA08AF">
            <w:pPr>
              <w:spacing w:line="252" w:lineRule="auto"/>
              <w:jc w:val="center"/>
              <w:rPr>
                <w:rFonts w:ascii="Calibri" w:eastAsia="Calibri" w:hAnsi="Calibri" w:cs="Calibri"/>
                <w:sz w:val="22"/>
                <w:szCs w:val="22"/>
              </w:rPr>
            </w:pPr>
            <w:r w:rsidRPr="00EA08AF">
              <w:rPr>
                <w:rFonts w:ascii="Calibri" w:eastAsia="Calibri" w:hAnsi="Calibri" w:cs="Calibri"/>
                <w:b/>
                <w:bCs/>
                <w:sz w:val="22"/>
                <w:szCs w:val="22"/>
              </w:rPr>
              <w:t>5%</w:t>
            </w:r>
          </w:p>
        </w:tc>
        <w:tc>
          <w:tcPr>
            <w:tcW w:w="1872" w:type="dxa"/>
            <w:tcBorders>
              <w:top w:val="nil"/>
              <w:left w:val="nil"/>
              <w:bottom w:val="single" w:sz="8" w:space="0" w:color="000000"/>
              <w:right w:val="single" w:sz="8" w:space="0" w:color="000000"/>
            </w:tcBorders>
            <w:tcMar>
              <w:top w:w="29" w:type="dxa"/>
              <w:left w:w="115" w:type="dxa"/>
              <w:bottom w:w="29" w:type="dxa"/>
              <w:right w:w="115" w:type="dxa"/>
            </w:tcMar>
            <w:vAlign w:val="center"/>
            <w:hideMark/>
          </w:tcPr>
          <w:p w14:paraId="2C602F4C" w14:textId="68C964E2" w:rsidR="00EA08AF" w:rsidRPr="00EA08AF" w:rsidRDefault="00EA08AF" w:rsidP="00EA08AF">
            <w:pPr>
              <w:spacing w:line="252" w:lineRule="auto"/>
              <w:jc w:val="center"/>
              <w:rPr>
                <w:rFonts w:ascii="Calibri" w:eastAsia="Calibri" w:hAnsi="Calibri" w:cs="Calibri"/>
                <w:sz w:val="22"/>
                <w:szCs w:val="22"/>
              </w:rPr>
            </w:pPr>
            <w:r w:rsidRPr="00EA08AF">
              <w:rPr>
                <w:rFonts w:ascii="Calibri" w:eastAsia="Calibri" w:hAnsi="Calibri" w:cs="Calibri"/>
                <w:b/>
                <w:bCs/>
                <w:sz w:val="22"/>
                <w:szCs w:val="22"/>
              </w:rPr>
              <w:t>$</w:t>
            </w:r>
            <w:r>
              <w:rPr>
                <w:rFonts w:ascii="Calibri" w:eastAsia="Calibri" w:hAnsi="Calibri" w:cs="Calibri"/>
                <w:b/>
                <w:bCs/>
                <w:sz w:val="22"/>
                <w:szCs w:val="22"/>
              </w:rPr>
              <w:t>5</w:t>
            </w:r>
            <w:r w:rsidRPr="00EA08AF">
              <w:rPr>
                <w:rFonts w:ascii="Calibri" w:eastAsia="Calibri" w:hAnsi="Calibri" w:cs="Calibri"/>
                <w:b/>
                <w:bCs/>
                <w:sz w:val="22"/>
                <w:szCs w:val="22"/>
              </w:rPr>
              <w:t>0,000</w:t>
            </w:r>
          </w:p>
        </w:tc>
      </w:tr>
    </w:tbl>
    <w:p w14:paraId="7EEEC838" w14:textId="77777777" w:rsidR="00EA08AF" w:rsidRPr="00EA08AF" w:rsidRDefault="00EA08AF" w:rsidP="00EA08AF">
      <w:pPr>
        <w:tabs>
          <w:tab w:val="num" w:pos="1080"/>
        </w:tabs>
        <w:autoSpaceDE w:val="0"/>
        <w:autoSpaceDN w:val="0"/>
        <w:adjustRightInd w:val="0"/>
        <w:ind w:left="1080"/>
        <w:jc w:val="both"/>
        <w:rPr>
          <w:rFonts w:ascii="Calibri" w:hAnsi="Calibri" w:cs="Calibri"/>
          <w:b/>
          <w:bCs/>
        </w:rPr>
      </w:pPr>
    </w:p>
    <w:p w14:paraId="73DEA5AD" w14:textId="4C7210B6" w:rsidR="00F72947" w:rsidRPr="00F72947" w:rsidRDefault="00F72947" w:rsidP="00A957C4">
      <w:pPr>
        <w:numPr>
          <w:ilvl w:val="0"/>
          <w:numId w:val="1"/>
        </w:numPr>
        <w:tabs>
          <w:tab w:val="num" w:pos="1080"/>
        </w:tabs>
        <w:ind w:left="1080" w:hanging="720"/>
        <w:jc w:val="both"/>
        <w:rPr>
          <w:rFonts w:ascii="Calibri" w:hAnsi="Calibri" w:cs="Calibri"/>
        </w:rPr>
      </w:pPr>
      <w:r w:rsidRPr="00F72947">
        <w:rPr>
          <w:rFonts w:ascii="Calibri" w:hAnsi="Calibri" w:cs="Calibri"/>
        </w:rPr>
        <w:t>Page 31 of the RFP, Section O (PRICING), Item 1</w:t>
      </w:r>
      <w:r w:rsidR="00EA08AF">
        <w:rPr>
          <w:rFonts w:ascii="Calibri" w:hAnsi="Calibri" w:cs="Calibri"/>
        </w:rPr>
        <w:t>,</w:t>
      </w:r>
      <w:r w:rsidRPr="00F72947">
        <w:rPr>
          <w:rFonts w:ascii="Calibri" w:hAnsi="Calibri" w:cs="Calibri"/>
        </w:rPr>
        <w:t xml:space="preserve"> states:</w:t>
      </w:r>
    </w:p>
    <w:p w14:paraId="099F91BF" w14:textId="77777777" w:rsidR="00F72947" w:rsidRPr="00EA08AF" w:rsidRDefault="00F72947" w:rsidP="00EA08AF">
      <w:pPr>
        <w:pStyle w:val="Item1"/>
        <w:tabs>
          <w:tab w:val="clear" w:pos="1440"/>
        </w:tabs>
        <w:spacing w:before="240"/>
        <w:ind w:left="1440" w:firstLine="0"/>
        <w:jc w:val="both"/>
        <w:rPr>
          <w:i/>
          <w:iCs/>
        </w:rPr>
      </w:pPr>
      <w:r w:rsidRPr="00EA08AF">
        <w:rPr>
          <w:i/>
          <w:iCs/>
        </w:rPr>
        <w:t>Prices quoted shall be firm for the first 24 months of any contract that may be awarded pursuant to this RFP.</w:t>
      </w:r>
    </w:p>
    <w:p w14:paraId="77A3E1BC" w14:textId="3F8F72ED" w:rsidR="004D242F" w:rsidRPr="00F72947" w:rsidRDefault="00EA08AF" w:rsidP="00A957C4">
      <w:pPr>
        <w:pStyle w:val="Item1"/>
        <w:tabs>
          <w:tab w:val="clear" w:pos="1440"/>
        </w:tabs>
        <w:spacing w:after="0"/>
        <w:ind w:left="1080" w:firstLine="0"/>
        <w:jc w:val="both"/>
      </w:pPr>
      <w:r>
        <w:t xml:space="preserve">Can the County clarify expectations around invoicing and </w:t>
      </w:r>
      <w:r w:rsidR="00AF730E">
        <w:t>payment structure</w:t>
      </w:r>
      <w:r>
        <w:t xml:space="preserve">?  Will pricing and/or </w:t>
      </w:r>
      <w:r w:rsidR="00AF730E">
        <w:t>payments</w:t>
      </w:r>
      <w:r>
        <w:t xml:space="preserve"> be connected to achieving specific milestones or deliverables?</w:t>
      </w:r>
    </w:p>
    <w:p w14:paraId="141F3CB9" w14:textId="34EE4AF2" w:rsidR="00AF730E" w:rsidRDefault="00AF730E" w:rsidP="00AF730E">
      <w:pPr>
        <w:numPr>
          <w:ilvl w:val="1"/>
          <w:numId w:val="1"/>
        </w:numPr>
        <w:tabs>
          <w:tab w:val="clear" w:pos="810"/>
          <w:tab w:val="num" w:pos="1080"/>
        </w:tabs>
        <w:autoSpaceDE w:val="0"/>
        <w:autoSpaceDN w:val="0"/>
        <w:adjustRightInd w:val="0"/>
        <w:ind w:left="1080" w:hanging="720"/>
        <w:jc w:val="both"/>
        <w:rPr>
          <w:rFonts w:ascii="Calibri" w:hAnsi="Calibri" w:cs="Calibri"/>
          <w:b/>
        </w:rPr>
      </w:pPr>
      <w:r>
        <w:rPr>
          <w:rFonts w:ascii="Calibri" w:hAnsi="Calibri" w:cs="Calibri"/>
          <w:b/>
        </w:rPr>
        <w:t>Payment structure will be finalized during contract negotiations with successful Bidders.  However, the County intends to for wages, benefits, and indirect costs to be reimbursed monthly without any ties to milestones and/or deliverables.</w:t>
      </w:r>
    </w:p>
    <w:p w14:paraId="34BDFF01" w14:textId="77ECA213" w:rsidR="00AF730E" w:rsidRDefault="00AF730E" w:rsidP="00AF730E">
      <w:pPr>
        <w:autoSpaceDE w:val="0"/>
        <w:autoSpaceDN w:val="0"/>
        <w:adjustRightInd w:val="0"/>
        <w:ind w:left="1080"/>
        <w:jc w:val="both"/>
        <w:rPr>
          <w:rFonts w:ascii="Calibri" w:hAnsi="Calibri" w:cs="Calibri"/>
          <w:b/>
        </w:rPr>
      </w:pPr>
    </w:p>
    <w:p w14:paraId="4C12B580" w14:textId="6FE2FA5F" w:rsidR="00AF730E" w:rsidRDefault="00AF730E" w:rsidP="00AF730E">
      <w:pPr>
        <w:autoSpaceDE w:val="0"/>
        <w:autoSpaceDN w:val="0"/>
        <w:adjustRightInd w:val="0"/>
        <w:ind w:left="1080"/>
        <w:jc w:val="both"/>
        <w:rPr>
          <w:rFonts w:ascii="Calibri" w:hAnsi="Calibri" w:cs="Calibri"/>
          <w:b/>
        </w:rPr>
      </w:pPr>
      <w:r>
        <w:rPr>
          <w:rFonts w:ascii="Calibri" w:hAnsi="Calibri" w:cs="Calibri"/>
          <w:b/>
        </w:rPr>
        <w:t>Participant wages, participant stipends, and flexible funds/incentives will be reimbursed on an “as-used” basis up to the maximum amounts provided in the Budget Form(s).</w:t>
      </w:r>
    </w:p>
    <w:p w14:paraId="71ABF7EF" w14:textId="6D537B8A" w:rsidR="00AF730E" w:rsidRDefault="00AF730E" w:rsidP="00AF730E">
      <w:pPr>
        <w:autoSpaceDE w:val="0"/>
        <w:autoSpaceDN w:val="0"/>
        <w:adjustRightInd w:val="0"/>
        <w:ind w:left="1080"/>
        <w:jc w:val="both"/>
        <w:rPr>
          <w:rFonts w:ascii="Calibri" w:hAnsi="Calibri" w:cs="Calibri"/>
          <w:b/>
        </w:rPr>
      </w:pPr>
    </w:p>
    <w:p w14:paraId="36B756BE" w14:textId="7B84A216" w:rsidR="00AF730E" w:rsidRPr="00985AE1" w:rsidRDefault="00AF730E" w:rsidP="00AF730E">
      <w:pPr>
        <w:autoSpaceDE w:val="0"/>
        <w:autoSpaceDN w:val="0"/>
        <w:adjustRightInd w:val="0"/>
        <w:ind w:left="1080"/>
        <w:jc w:val="both"/>
        <w:rPr>
          <w:rFonts w:ascii="Calibri" w:hAnsi="Calibri" w:cs="Calibri"/>
          <w:b/>
        </w:rPr>
      </w:pPr>
      <w:r>
        <w:rPr>
          <w:rFonts w:ascii="Calibri" w:hAnsi="Calibri" w:cs="Calibri"/>
          <w:b/>
        </w:rPr>
        <w:t xml:space="preserve">Program costs, however, may be tied to achieving specific milestones and/or deliverables as determined during contract negotiations.  </w:t>
      </w:r>
    </w:p>
    <w:p w14:paraId="60CA6C3B" w14:textId="77777777" w:rsidR="004D242F" w:rsidRPr="00985AE1" w:rsidRDefault="004D242F" w:rsidP="00A957C4">
      <w:pPr>
        <w:tabs>
          <w:tab w:val="num" w:pos="1080"/>
        </w:tabs>
        <w:jc w:val="both"/>
        <w:rPr>
          <w:rFonts w:ascii="Calibri" w:hAnsi="Calibri" w:cs="Calibri"/>
          <w:b/>
        </w:rPr>
      </w:pPr>
    </w:p>
    <w:p w14:paraId="6D45C9AA" w14:textId="52211DD7" w:rsidR="006126E5" w:rsidRPr="006126E5" w:rsidRDefault="006126E5" w:rsidP="006126E5">
      <w:pPr>
        <w:numPr>
          <w:ilvl w:val="0"/>
          <w:numId w:val="1"/>
        </w:numPr>
        <w:tabs>
          <w:tab w:val="num" w:pos="1080"/>
        </w:tabs>
        <w:ind w:left="1080" w:hanging="720"/>
        <w:jc w:val="both"/>
        <w:rPr>
          <w:rFonts w:ascii="Calibri" w:hAnsi="Calibri" w:cs="Calibri"/>
          <w:b/>
        </w:rPr>
      </w:pPr>
      <w:r>
        <w:rPr>
          <w:rFonts w:ascii="Calibri" w:hAnsi="Calibri" w:cs="Calibri"/>
        </w:rPr>
        <w:t>Page 11 of the RFP, Section D (PROGRAM REQUIR</w:t>
      </w:r>
      <w:r w:rsidR="00C64893">
        <w:rPr>
          <w:rFonts w:ascii="Calibri" w:hAnsi="Calibri" w:cs="Calibri"/>
        </w:rPr>
        <w:t>E</w:t>
      </w:r>
      <w:r>
        <w:rPr>
          <w:rFonts w:ascii="Calibri" w:hAnsi="Calibri" w:cs="Calibri"/>
        </w:rPr>
        <w:t>MEN</w:t>
      </w:r>
      <w:r w:rsidR="00C64893">
        <w:rPr>
          <w:rFonts w:ascii="Calibri" w:hAnsi="Calibri" w:cs="Calibri"/>
        </w:rPr>
        <w:t>T</w:t>
      </w:r>
      <w:r>
        <w:rPr>
          <w:rFonts w:ascii="Calibri" w:hAnsi="Calibri" w:cs="Calibri"/>
        </w:rPr>
        <w:t>S), Item 3, states:</w:t>
      </w:r>
    </w:p>
    <w:p w14:paraId="295664F6" w14:textId="77777777" w:rsidR="006126E5" w:rsidRPr="006126E5" w:rsidRDefault="006126E5" w:rsidP="006126E5">
      <w:pPr>
        <w:tabs>
          <w:tab w:val="num" w:pos="1080"/>
        </w:tabs>
        <w:spacing w:before="240" w:after="240"/>
        <w:ind w:left="1440"/>
        <w:jc w:val="both"/>
        <w:rPr>
          <w:rFonts w:ascii="Calibri" w:hAnsi="Calibri" w:cs="Calibri"/>
          <w:i/>
          <w:iCs/>
        </w:rPr>
      </w:pPr>
      <w:r w:rsidRPr="006126E5">
        <w:rPr>
          <w:rFonts w:ascii="Calibri" w:hAnsi="Calibri" w:cs="Calibri"/>
          <w:i/>
          <w:iCs/>
        </w:rPr>
        <w:t xml:space="preserve">Contractor(s) shall provide necessary services to </w:t>
      </w:r>
      <w:r w:rsidRPr="006126E5">
        <w:rPr>
          <w:rFonts w:ascii="Calibri" w:hAnsi="Calibri" w:cs="Calibri"/>
          <w:b/>
          <w:bCs/>
          <w:i/>
          <w:iCs/>
          <w:u w:val="single"/>
        </w:rPr>
        <w:t xml:space="preserve">ensure that all Participants serviced under this RFP will be ready for employment in no more than 60 days from the referral </w:t>
      </w:r>
      <w:r w:rsidRPr="006126E5">
        <w:rPr>
          <w:rFonts w:ascii="Calibri" w:hAnsi="Calibri" w:cs="Calibri"/>
          <w:b/>
          <w:bCs/>
          <w:i/>
          <w:iCs/>
          <w:u w:val="single"/>
        </w:rPr>
        <w:lastRenderedPageBreak/>
        <w:t>date</w:t>
      </w:r>
      <w:r w:rsidRPr="006126E5">
        <w:rPr>
          <w:rFonts w:ascii="Calibri" w:hAnsi="Calibri" w:cs="Calibri"/>
          <w:i/>
          <w:iCs/>
        </w:rPr>
        <w:t>.  An additional 15-day extension might be granted in cases where extra time is necessary.</w:t>
      </w:r>
    </w:p>
    <w:p w14:paraId="51A981D9" w14:textId="736A10E3" w:rsidR="006126E5" w:rsidRPr="00CE5E89" w:rsidRDefault="006126E5" w:rsidP="006126E5">
      <w:pPr>
        <w:tabs>
          <w:tab w:val="num" w:pos="1080"/>
        </w:tabs>
        <w:ind w:left="1080"/>
        <w:jc w:val="both"/>
        <w:rPr>
          <w:rFonts w:ascii="Calibri" w:hAnsi="Calibri" w:cs="Calibri"/>
          <w:b/>
        </w:rPr>
      </w:pPr>
      <w:r>
        <w:rPr>
          <w:rFonts w:ascii="Calibri" w:hAnsi="Calibri" w:cs="Calibri"/>
        </w:rPr>
        <w:t>In addition, on page 23 of the Exhibit A – Bid Response Packet (OUTCOMES and IMPACT), Item 2, states:</w:t>
      </w:r>
    </w:p>
    <w:p w14:paraId="2BDD8BB8" w14:textId="6EE7493B" w:rsidR="006126E5" w:rsidRPr="00BE7E60" w:rsidRDefault="006126E5" w:rsidP="006126E5">
      <w:pPr>
        <w:tabs>
          <w:tab w:val="num" w:pos="1080"/>
        </w:tabs>
        <w:spacing w:before="240" w:after="240"/>
        <w:ind w:left="1440"/>
        <w:jc w:val="both"/>
        <w:rPr>
          <w:rFonts w:ascii="Calibri" w:hAnsi="Calibri" w:cs="Calibri"/>
          <w:i/>
          <w:iCs/>
        </w:rPr>
      </w:pPr>
      <w:r w:rsidRPr="00BE7E60">
        <w:rPr>
          <w:rFonts w:ascii="Calibri" w:hAnsi="Calibri" w:cs="Calibri"/>
          <w:i/>
          <w:iCs/>
        </w:rPr>
        <w:t>Bidder must describe how it believes it program will ensure that all program participants will be ready for employment within 60 days from the referral date, as well as describe how it will address and/or mitigate challenges in meeting the 60-day goal</w:t>
      </w:r>
    </w:p>
    <w:p w14:paraId="50A6EC26" w14:textId="7FAAFE8C" w:rsidR="004D242F" w:rsidRPr="00985AE1" w:rsidRDefault="006126E5" w:rsidP="00A957C4">
      <w:pPr>
        <w:tabs>
          <w:tab w:val="num" w:pos="1080"/>
        </w:tabs>
        <w:ind w:left="1080"/>
        <w:jc w:val="both"/>
        <w:rPr>
          <w:rFonts w:ascii="Calibri" w:hAnsi="Calibri" w:cs="Calibri"/>
          <w:b/>
        </w:rPr>
      </w:pPr>
      <w:r>
        <w:rPr>
          <w:rFonts w:ascii="Calibri" w:hAnsi="Calibri" w:cs="Calibri"/>
        </w:rPr>
        <w:t>How does the County define</w:t>
      </w:r>
      <w:r w:rsidR="00CE5E89">
        <w:rPr>
          <w:rFonts w:ascii="Calibri" w:hAnsi="Calibri" w:cs="Calibri"/>
        </w:rPr>
        <w:t xml:space="preserve"> “ready for employment”? </w:t>
      </w:r>
    </w:p>
    <w:p w14:paraId="2EBE4A0B" w14:textId="6835EFD2" w:rsidR="004D242F" w:rsidRPr="00985AE1" w:rsidRDefault="000A1174" w:rsidP="00A957C4">
      <w:pPr>
        <w:numPr>
          <w:ilvl w:val="1"/>
          <w:numId w:val="1"/>
        </w:numPr>
        <w:tabs>
          <w:tab w:val="clear" w:pos="810"/>
          <w:tab w:val="num" w:pos="1080"/>
        </w:tabs>
        <w:autoSpaceDE w:val="0"/>
        <w:autoSpaceDN w:val="0"/>
        <w:adjustRightInd w:val="0"/>
        <w:ind w:left="1080" w:hanging="720"/>
        <w:jc w:val="both"/>
        <w:rPr>
          <w:rFonts w:ascii="Calibri" w:hAnsi="Calibri" w:cs="Calibri"/>
          <w:b/>
        </w:rPr>
      </w:pPr>
      <w:r>
        <w:rPr>
          <w:rFonts w:ascii="Calibri" w:hAnsi="Calibri" w:cs="Calibri"/>
          <w:b/>
        </w:rPr>
        <w:t>Ready for employment does not</w:t>
      </w:r>
      <w:r w:rsidR="00CD2032">
        <w:rPr>
          <w:rFonts w:ascii="Calibri" w:hAnsi="Calibri" w:cs="Calibri"/>
          <w:b/>
        </w:rPr>
        <w:t xml:space="preserve"> mean that </w:t>
      </w:r>
      <w:r w:rsidR="00C64893">
        <w:rPr>
          <w:rFonts w:ascii="Calibri" w:hAnsi="Calibri" w:cs="Calibri"/>
          <w:b/>
        </w:rPr>
        <w:t xml:space="preserve">youth </w:t>
      </w:r>
      <w:r w:rsidR="00CD2032">
        <w:rPr>
          <w:rFonts w:ascii="Calibri" w:hAnsi="Calibri" w:cs="Calibri"/>
          <w:b/>
        </w:rPr>
        <w:t>have a job</w:t>
      </w:r>
      <w:r w:rsidR="00C64893">
        <w:rPr>
          <w:rFonts w:ascii="Calibri" w:hAnsi="Calibri" w:cs="Calibri"/>
          <w:b/>
        </w:rPr>
        <w:t xml:space="preserve">; </w:t>
      </w:r>
      <w:r>
        <w:rPr>
          <w:rFonts w:ascii="Calibri" w:hAnsi="Calibri" w:cs="Calibri"/>
          <w:b/>
        </w:rPr>
        <w:t>rather</w:t>
      </w:r>
      <w:r w:rsidR="00C64893">
        <w:rPr>
          <w:rFonts w:ascii="Calibri" w:hAnsi="Calibri" w:cs="Calibri"/>
          <w:b/>
        </w:rPr>
        <w:t>,</w:t>
      </w:r>
      <w:r>
        <w:rPr>
          <w:rFonts w:ascii="Calibri" w:hAnsi="Calibri" w:cs="Calibri"/>
          <w:b/>
        </w:rPr>
        <w:t xml:space="preserve"> it means </w:t>
      </w:r>
      <w:r w:rsidR="00C64893">
        <w:rPr>
          <w:rFonts w:ascii="Calibri" w:hAnsi="Calibri" w:cs="Calibri"/>
          <w:b/>
        </w:rPr>
        <w:t>youth</w:t>
      </w:r>
      <w:r>
        <w:rPr>
          <w:rFonts w:ascii="Calibri" w:hAnsi="Calibri" w:cs="Calibri"/>
          <w:b/>
        </w:rPr>
        <w:t xml:space="preserve"> are ready for job placement.</w:t>
      </w:r>
      <w:r w:rsidR="00CD2032">
        <w:rPr>
          <w:rFonts w:ascii="Calibri" w:hAnsi="Calibri" w:cs="Calibri"/>
          <w:b/>
        </w:rPr>
        <w:t xml:space="preserve"> </w:t>
      </w:r>
      <w:r>
        <w:rPr>
          <w:rFonts w:ascii="Calibri" w:hAnsi="Calibri" w:cs="Calibri"/>
          <w:b/>
        </w:rPr>
        <w:t xml:space="preserve">Within 60 days from date of referral assessments, workshops, trainings, and all other necessary coursework have been completed so they are ready to be placed in employment. </w:t>
      </w:r>
    </w:p>
    <w:p w14:paraId="552B5279" w14:textId="77777777" w:rsidR="004D242F" w:rsidRPr="00985AE1" w:rsidRDefault="004D242F" w:rsidP="00A957C4">
      <w:pPr>
        <w:tabs>
          <w:tab w:val="num" w:pos="1080"/>
        </w:tabs>
        <w:ind w:left="1080" w:hanging="720"/>
        <w:jc w:val="both"/>
        <w:rPr>
          <w:rFonts w:ascii="Calibri" w:hAnsi="Calibri" w:cs="Calibri"/>
        </w:rPr>
      </w:pPr>
    </w:p>
    <w:p w14:paraId="627C472F" w14:textId="0615D6F9" w:rsidR="00345599" w:rsidRPr="00345599" w:rsidRDefault="00345599" w:rsidP="00C64893">
      <w:pPr>
        <w:numPr>
          <w:ilvl w:val="0"/>
          <w:numId w:val="1"/>
        </w:numPr>
        <w:tabs>
          <w:tab w:val="num" w:pos="1080"/>
        </w:tabs>
        <w:ind w:left="1080" w:hanging="720"/>
        <w:jc w:val="both"/>
        <w:rPr>
          <w:rFonts w:ascii="Calibri" w:hAnsi="Calibri" w:cs="Calibri"/>
        </w:rPr>
      </w:pPr>
      <w:r>
        <w:rPr>
          <w:rFonts w:ascii="Calibri" w:hAnsi="Calibri" w:cs="Calibri"/>
        </w:rPr>
        <w:t xml:space="preserve">Page 6, </w:t>
      </w:r>
      <w:r w:rsidR="00C64893">
        <w:rPr>
          <w:rFonts w:ascii="Calibri" w:hAnsi="Calibri" w:cs="Calibri"/>
        </w:rPr>
        <w:t xml:space="preserve">Section B (SCOPE and BACKGROUND), Item 1.c. states the target population will be </w:t>
      </w:r>
      <w:r w:rsidR="00C64893" w:rsidRPr="00C64893">
        <w:rPr>
          <w:rFonts w:ascii="Calibri" w:hAnsi="Calibri" w:cs="Calibri"/>
          <w:i/>
          <w:iCs/>
        </w:rPr>
        <w:t>between the ages of 14-21 years old</w:t>
      </w:r>
      <w:r w:rsidR="00C64893">
        <w:rPr>
          <w:rFonts w:ascii="Calibri" w:hAnsi="Calibri" w:cs="Calibri"/>
        </w:rPr>
        <w:t>.  Does that mean to include persons who are age 21?  Or does a person become ineligible on their 21</w:t>
      </w:r>
      <w:r w:rsidR="00C64893" w:rsidRPr="00C64893">
        <w:rPr>
          <w:rFonts w:ascii="Calibri" w:hAnsi="Calibri" w:cs="Calibri"/>
          <w:vertAlign w:val="superscript"/>
        </w:rPr>
        <w:t>st</w:t>
      </w:r>
      <w:r w:rsidR="00C64893">
        <w:rPr>
          <w:rFonts w:ascii="Calibri" w:hAnsi="Calibri" w:cs="Calibri"/>
        </w:rPr>
        <w:t xml:space="preserve"> birthday?</w:t>
      </w:r>
    </w:p>
    <w:p w14:paraId="1A669050" w14:textId="52406355" w:rsidR="004D242F" w:rsidRDefault="00C64893" w:rsidP="00A957C4">
      <w:pPr>
        <w:numPr>
          <w:ilvl w:val="1"/>
          <w:numId w:val="1"/>
        </w:numPr>
        <w:tabs>
          <w:tab w:val="clear" w:pos="810"/>
          <w:tab w:val="num" w:pos="1080"/>
        </w:tabs>
        <w:autoSpaceDE w:val="0"/>
        <w:autoSpaceDN w:val="0"/>
        <w:adjustRightInd w:val="0"/>
        <w:ind w:left="1080" w:hanging="720"/>
        <w:jc w:val="both"/>
        <w:rPr>
          <w:rFonts w:ascii="Calibri" w:hAnsi="Calibri" w:cs="Calibri"/>
          <w:b/>
        </w:rPr>
      </w:pPr>
      <w:r>
        <w:rPr>
          <w:rFonts w:ascii="Calibri" w:hAnsi="Calibri" w:cs="Calibri"/>
          <w:b/>
        </w:rPr>
        <w:t>It means to include person who are 21 years of age</w:t>
      </w:r>
      <w:r w:rsidR="00104C73">
        <w:rPr>
          <w:rFonts w:ascii="Calibri" w:hAnsi="Calibri" w:cs="Calibri"/>
          <w:b/>
        </w:rPr>
        <w:t>; p</w:t>
      </w:r>
      <w:r>
        <w:rPr>
          <w:rFonts w:ascii="Calibri" w:hAnsi="Calibri" w:cs="Calibri"/>
          <w:b/>
        </w:rPr>
        <w:t xml:space="preserve">ersons become ineligible </w:t>
      </w:r>
      <w:r w:rsidR="00104C73">
        <w:rPr>
          <w:rFonts w:ascii="Calibri" w:hAnsi="Calibri" w:cs="Calibri"/>
          <w:b/>
        </w:rPr>
        <w:t>on their 22</w:t>
      </w:r>
      <w:r w:rsidR="00104C73" w:rsidRPr="00104C73">
        <w:rPr>
          <w:rFonts w:ascii="Calibri" w:hAnsi="Calibri" w:cs="Calibri"/>
          <w:b/>
          <w:vertAlign w:val="superscript"/>
        </w:rPr>
        <w:t>nd</w:t>
      </w:r>
      <w:r w:rsidR="00104C73">
        <w:rPr>
          <w:rFonts w:ascii="Calibri" w:hAnsi="Calibri" w:cs="Calibri"/>
          <w:b/>
        </w:rPr>
        <w:t xml:space="preserve"> birthday.</w:t>
      </w:r>
      <w:r w:rsidR="00345599">
        <w:rPr>
          <w:rFonts w:ascii="Calibri" w:hAnsi="Calibri" w:cs="Calibri"/>
          <w:b/>
        </w:rPr>
        <w:t xml:space="preserve"> </w:t>
      </w:r>
    </w:p>
    <w:p w14:paraId="449C827F" w14:textId="77777777" w:rsidR="006114BA" w:rsidRPr="006114BA" w:rsidRDefault="006114BA" w:rsidP="00A957C4">
      <w:pPr>
        <w:tabs>
          <w:tab w:val="num" w:pos="1080"/>
        </w:tabs>
        <w:ind w:left="1080"/>
        <w:jc w:val="both"/>
        <w:rPr>
          <w:rFonts w:asciiTheme="minorHAnsi" w:hAnsiTheme="minorHAnsi" w:cstheme="minorHAnsi"/>
          <w:b/>
          <w:szCs w:val="26"/>
        </w:rPr>
      </w:pPr>
    </w:p>
    <w:p w14:paraId="0D33FC70" w14:textId="4FDFD599" w:rsidR="006114BA" w:rsidRPr="009E27AD" w:rsidRDefault="006114BA" w:rsidP="00A957C4">
      <w:pPr>
        <w:numPr>
          <w:ilvl w:val="0"/>
          <w:numId w:val="1"/>
        </w:numPr>
        <w:tabs>
          <w:tab w:val="num" w:pos="1080"/>
        </w:tabs>
        <w:ind w:left="1080" w:hanging="720"/>
        <w:jc w:val="both"/>
        <w:rPr>
          <w:rFonts w:asciiTheme="minorHAnsi" w:hAnsiTheme="minorHAnsi" w:cstheme="minorHAnsi"/>
          <w:b/>
          <w:szCs w:val="26"/>
        </w:rPr>
      </w:pPr>
      <w:r>
        <w:rPr>
          <w:rFonts w:asciiTheme="minorHAnsi" w:hAnsiTheme="minorHAnsi" w:cstheme="minorHAnsi"/>
          <w:szCs w:val="26"/>
        </w:rPr>
        <w:t xml:space="preserve">The </w:t>
      </w:r>
      <w:r w:rsidRPr="009E27AD">
        <w:rPr>
          <w:rFonts w:asciiTheme="minorHAnsi" w:hAnsiTheme="minorHAnsi" w:cstheme="minorHAnsi"/>
          <w:szCs w:val="26"/>
        </w:rPr>
        <w:t>current PYEP</w:t>
      </w:r>
      <w:r w:rsidR="00104C73">
        <w:rPr>
          <w:rFonts w:asciiTheme="minorHAnsi" w:hAnsiTheme="minorHAnsi" w:cstheme="minorHAnsi"/>
          <w:szCs w:val="26"/>
        </w:rPr>
        <w:t xml:space="preserve"> contract</w:t>
      </w:r>
      <w:r w:rsidRPr="009E27AD">
        <w:rPr>
          <w:rFonts w:asciiTheme="minorHAnsi" w:hAnsiTheme="minorHAnsi" w:cstheme="minorHAnsi"/>
          <w:szCs w:val="26"/>
        </w:rPr>
        <w:t xml:space="preserve"> serve</w:t>
      </w:r>
      <w:r w:rsidR="00104C73">
        <w:rPr>
          <w:rFonts w:asciiTheme="minorHAnsi" w:hAnsiTheme="minorHAnsi" w:cstheme="minorHAnsi"/>
          <w:szCs w:val="26"/>
        </w:rPr>
        <w:t>s</w:t>
      </w:r>
      <w:r w:rsidRPr="009E27AD">
        <w:rPr>
          <w:rFonts w:asciiTheme="minorHAnsi" w:hAnsiTheme="minorHAnsi" w:cstheme="minorHAnsi"/>
          <w:szCs w:val="26"/>
        </w:rPr>
        <w:t xml:space="preserve"> youth ages 14-19. </w:t>
      </w:r>
      <w:r>
        <w:rPr>
          <w:rFonts w:asciiTheme="minorHAnsi" w:hAnsiTheme="minorHAnsi" w:cstheme="minorHAnsi"/>
          <w:szCs w:val="26"/>
        </w:rPr>
        <w:t>T</w:t>
      </w:r>
      <w:r w:rsidRPr="009E27AD">
        <w:rPr>
          <w:rFonts w:asciiTheme="minorHAnsi" w:hAnsiTheme="minorHAnsi" w:cstheme="minorHAnsi"/>
          <w:szCs w:val="26"/>
        </w:rPr>
        <w:t>he target population</w:t>
      </w:r>
      <w:r w:rsidR="00104C73">
        <w:rPr>
          <w:rFonts w:asciiTheme="minorHAnsi" w:hAnsiTheme="minorHAnsi" w:cstheme="minorHAnsi"/>
          <w:szCs w:val="26"/>
        </w:rPr>
        <w:t xml:space="preserve"> for his RFP</w:t>
      </w:r>
      <w:r w:rsidRPr="009E27AD">
        <w:rPr>
          <w:rFonts w:asciiTheme="minorHAnsi" w:hAnsiTheme="minorHAnsi" w:cstheme="minorHAnsi"/>
          <w:szCs w:val="26"/>
        </w:rPr>
        <w:t xml:space="preserve"> is listed as 14-21. </w:t>
      </w:r>
      <w:r w:rsidR="00104C73">
        <w:rPr>
          <w:rFonts w:asciiTheme="minorHAnsi" w:hAnsiTheme="minorHAnsi" w:cstheme="minorHAnsi"/>
          <w:szCs w:val="26"/>
        </w:rPr>
        <w:t xml:space="preserve"> </w:t>
      </w:r>
      <w:r w:rsidRPr="009E27AD">
        <w:rPr>
          <w:rFonts w:asciiTheme="minorHAnsi" w:hAnsiTheme="minorHAnsi" w:cstheme="minorHAnsi"/>
          <w:szCs w:val="26"/>
        </w:rPr>
        <w:t xml:space="preserve">Is this accurate? </w:t>
      </w:r>
      <w:r w:rsidR="00104C73">
        <w:rPr>
          <w:rFonts w:asciiTheme="minorHAnsi" w:hAnsiTheme="minorHAnsi" w:cstheme="minorHAnsi"/>
          <w:szCs w:val="26"/>
        </w:rPr>
        <w:t xml:space="preserve"> </w:t>
      </w:r>
      <w:r w:rsidRPr="009E27AD">
        <w:rPr>
          <w:rFonts w:asciiTheme="minorHAnsi" w:hAnsiTheme="minorHAnsi" w:cstheme="minorHAnsi"/>
          <w:szCs w:val="26"/>
        </w:rPr>
        <w:t xml:space="preserve">If so, does the </w:t>
      </w:r>
      <w:r w:rsidR="00104C73">
        <w:rPr>
          <w:rFonts w:asciiTheme="minorHAnsi" w:hAnsiTheme="minorHAnsi" w:cstheme="minorHAnsi"/>
          <w:szCs w:val="26"/>
        </w:rPr>
        <w:t>C</w:t>
      </w:r>
      <w:r w:rsidRPr="009E27AD">
        <w:rPr>
          <w:rFonts w:asciiTheme="minorHAnsi" w:hAnsiTheme="minorHAnsi" w:cstheme="minorHAnsi"/>
          <w:szCs w:val="26"/>
        </w:rPr>
        <w:t xml:space="preserve">ounty wish to see how </w:t>
      </w:r>
      <w:r w:rsidR="00104C73">
        <w:rPr>
          <w:rFonts w:asciiTheme="minorHAnsi" w:hAnsiTheme="minorHAnsi" w:cstheme="minorHAnsi"/>
          <w:szCs w:val="26"/>
        </w:rPr>
        <w:t>Bidders</w:t>
      </w:r>
      <w:r w:rsidRPr="009E27AD">
        <w:rPr>
          <w:rFonts w:asciiTheme="minorHAnsi" w:hAnsiTheme="minorHAnsi" w:cstheme="minorHAnsi"/>
          <w:szCs w:val="26"/>
        </w:rPr>
        <w:t xml:space="preserve"> segment services for youth ages 14-18 and young adults ages 19-21?</w:t>
      </w:r>
    </w:p>
    <w:p w14:paraId="0C416A5C" w14:textId="77777777" w:rsidR="00104C73" w:rsidRDefault="00104C73" w:rsidP="00A957C4">
      <w:pPr>
        <w:numPr>
          <w:ilvl w:val="1"/>
          <w:numId w:val="1"/>
        </w:numPr>
        <w:tabs>
          <w:tab w:val="clear" w:pos="810"/>
          <w:tab w:val="num" w:pos="1080"/>
        </w:tabs>
        <w:autoSpaceDE w:val="0"/>
        <w:autoSpaceDN w:val="0"/>
        <w:adjustRightInd w:val="0"/>
        <w:ind w:left="1080" w:hanging="720"/>
        <w:jc w:val="both"/>
        <w:rPr>
          <w:rFonts w:ascii="Calibri" w:hAnsi="Calibri" w:cs="Calibri"/>
          <w:b/>
        </w:rPr>
      </w:pPr>
      <w:r>
        <w:rPr>
          <w:rFonts w:ascii="Calibri" w:hAnsi="Calibri" w:cs="Calibri"/>
          <w:b/>
        </w:rPr>
        <w:t>For this RFP, t</w:t>
      </w:r>
      <w:r w:rsidR="00D66E1A">
        <w:rPr>
          <w:rFonts w:ascii="Calibri" w:hAnsi="Calibri" w:cs="Calibri"/>
          <w:b/>
        </w:rPr>
        <w:t xml:space="preserve">he target population </w:t>
      </w:r>
      <w:r>
        <w:rPr>
          <w:rFonts w:ascii="Calibri" w:hAnsi="Calibri" w:cs="Calibri"/>
          <w:b/>
        </w:rPr>
        <w:t>includes</w:t>
      </w:r>
      <w:r w:rsidR="00D66E1A">
        <w:rPr>
          <w:rFonts w:ascii="Calibri" w:hAnsi="Calibri" w:cs="Calibri"/>
          <w:b/>
        </w:rPr>
        <w:t xml:space="preserve"> youth between the ages of 14-21</w:t>
      </w:r>
      <w:r w:rsidR="0025231C">
        <w:rPr>
          <w:rFonts w:ascii="Calibri" w:hAnsi="Calibri" w:cs="Calibri"/>
          <w:b/>
        </w:rPr>
        <w:t xml:space="preserve">. </w:t>
      </w:r>
    </w:p>
    <w:p w14:paraId="6A2A037B" w14:textId="77777777" w:rsidR="00104C73" w:rsidRDefault="00104C73" w:rsidP="00104C73">
      <w:pPr>
        <w:autoSpaceDE w:val="0"/>
        <w:autoSpaceDN w:val="0"/>
        <w:adjustRightInd w:val="0"/>
        <w:ind w:left="1080"/>
        <w:jc w:val="both"/>
        <w:rPr>
          <w:rFonts w:ascii="Calibri" w:hAnsi="Calibri" w:cs="Calibri"/>
          <w:b/>
        </w:rPr>
      </w:pPr>
    </w:p>
    <w:p w14:paraId="7B126EDD" w14:textId="3865D33F" w:rsidR="006114BA" w:rsidRPr="00985AE1" w:rsidRDefault="00104C73" w:rsidP="00A957C4">
      <w:pPr>
        <w:autoSpaceDE w:val="0"/>
        <w:autoSpaceDN w:val="0"/>
        <w:adjustRightInd w:val="0"/>
        <w:ind w:left="1080"/>
        <w:jc w:val="both"/>
        <w:rPr>
          <w:rFonts w:ascii="Calibri" w:hAnsi="Calibri" w:cs="Calibri"/>
          <w:b/>
        </w:rPr>
      </w:pPr>
      <w:r>
        <w:rPr>
          <w:rFonts w:ascii="Calibri" w:hAnsi="Calibri" w:cs="Calibri"/>
          <w:b/>
        </w:rPr>
        <w:t xml:space="preserve">While Bidders </w:t>
      </w:r>
      <w:r w:rsidR="0025231C">
        <w:rPr>
          <w:rFonts w:ascii="Calibri" w:hAnsi="Calibri" w:cs="Calibri"/>
          <w:b/>
        </w:rPr>
        <w:t>can include information on how they will segment services for youth ages 14-18 and young adults ages 19-21,</w:t>
      </w:r>
      <w:r>
        <w:rPr>
          <w:rFonts w:ascii="Calibri" w:hAnsi="Calibri" w:cs="Calibri"/>
          <w:b/>
        </w:rPr>
        <w:t xml:space="preserve"> it</w:t>
      </w:r>
      <w:r w:rsidR="0025231C">
        <w:rPr>
          <w:rFonts w:ascii="Calibri" w:hAnsi="Calibri" w:cs="Calibri"/>
          <w:b/>
        </w:rPr>
        <w:t xml:space="preserve"> is not a requirement </w:t>
      </w:r>
      <w:r>
        <w:rPr>
          <w:rFonts w:ascii="Calibri" w:hAnsi="Calibri" w:cs="Calibri"/>
          <w:b/>
        </w:rPr>
        <w:t>to do so.</w:t>
      </w:r>
    </w:p>
    <w:p w14:paraId="6BBB1B36" w14:textId="77777777" w:rsidR="004D242F" w:rsidRPr="00985AE1" w:rsidRDefault="004D242F" w:rsidP="00A957C4">
      <w:pPr>
        <w:tabs>
          <w:tab w:val="num" w:pos="1080"/>
          <w:tab w:val="num" w:pos="1350"/>
        </w:tabs>
        <w:ind w:left="1080" w:hanging="720"/>
        <w:jc w:val="both"/>
        <w:rPr>
          <w:rFonts w:ascii="Calibri" w:hAnsi="Calibri" w:cs="Calibri"/>
        </w:rPr>
      </w:pPr>
    </w:p>
    <w:p w14:paraId="040FD1C5" w14:textId="5EC6D80F" w:rsidR="004D242F" w:rsidRPr="00BE7E60" w:rsidRDefault="00345599" w:rsidP="00A957C4">
      <w:pPr>
        <w:numPr>
          <w:ilvl w:val="0"/>
          <w:numId w:val="1"/>
        </w:numPr>
        <w:tabs>
          <w:tab w:val="num" w:pos="1080"/>
        </w:tabs>
        <w:ind w:left="1080" w:hanging="720"/>
        <w:jc w:val="both"/>
        <w:rPr>
          <w:rFonts w:ascii="Calibri" w:hAnsi="Calibri" w:cs="Calibri"/>
          <w:b/>
        </w:rPr>
      </w:pPr>
      <w:r>
        <w:rPr>
          <w:rFonts w:ascii="Calibri" w:hAnsi="Calibri" w:cs="Calibri"/>
        </w:rPr>
        <w:t xml:space="preserve">Page 11 of the RFP, Section </w:t>
      </w:r>
      <w:r w:rsidR="00104C73">
        <w:rPr>
          <w:rFonts w:ascii="Calibri" w:hAnsi="Calibri" w:cs="Calibri"/>
        </w:rPr>
        <w:t>D (PROGRAM REQUIREMENTS)</w:t>
      </w:r>
      <w:r>
        <w:rPr>
          <w:rFonts w:ascii="Calibri" w:hAnsi="Calibri" w:cs="Calibri"/>
        </w:rPr>
        <w:t xml:space="preserve">, Item </w:t>
      </w:r>
      <w:r w:rsidR="00104C73">
        <w:rPr>
          <w:rFonts w:ascii="Calibri" w:hAnsi="Calibri" w:cs="Calibri"/>
        </w:rPr>
        <w:t>4.</w:t>
      </w:r>
      <w:r>
        <w:rPr>
          <w:rFonts w:ascii="Calibri" w:hAnsi="Calibri" w:cs="Calibri"/>
        </w:rPr>
        <w:t>a</w:t>
      </w:r>
      <w:r w:rsidR="00104C73">
        <w:rPr>
          <w:rFonts w:ascii="Calibri" w:hAnsi="Calibri" w:cs="Calibri"/>
        </w:rPr>
        <w:t xml:space="preserve">.(2), </w:t>
      </w:r>
      <w:r w:rsidR="00BE7E60">
        <w:rPr>
          <w:rFonts w:ascii="Calibri" w:hAnsi="Calibri" w:cs="Calibri"/>
        </w:rPr>
        <w:t>states:</w:t>
      </w:r>
    </w:p>
    <w:p w14:paraId="7A77498B" w14:textId="6681B933" w:rsidR="00104C73" w:rsidRPr="00104C73" w:rsidRDefault="00104C73" w:rsidP="00104C73">
      <w:pPr>
        <w:pStyle w:val="Item10"/>
        <w:tabs>
          <w:tab w:val="clear" w:pos="2880"/>
          <w:tab w:val="left" w:pos="2160"/>
        </w:tabs>
        <w:spacing w:before="240"/>
        <w:ind w:left="2160"/>
        <w:jc w:val="both"/>
        <w:rPr>
          <w:b/>
          <w:i/>
          <w:iCs/>
        </w:rPr>
      </w:pPr>
      <w:r>
        <w:rPr>
          <w:i/>
          <w:iCs/>
        </w:rPr>
        <w:t>(2)</w:t>
      </w:r>
      <w:r>
        <w:rPr>
          <w:i/>
          <w:iCs/>
        </w:rPr>
        <w:tab/>
      </w:r>
      <w:r w:rsidRPr="00104C73">
        <w:rPr>
          <w:i/>
          <w:iCs/>
        </w:rPr>
        <w:t xml:space="preserve">Referrals may be identified and referred to the Contractor by the client’s DPO. </w:t>
      </w:r>
    </w:p>
    <w:p w14:paraId="4D4D5F78" w14:textId="77777777" w:rsidR="00104C73" w:rsidRPr="00104C73" w:rsidRDefault="00104C73" w:rsidP="00104C73">
      <w:pPr>
        <w:pStyle w:val="Itema0"/>
        <w:numPr>
          <w:ilvl w:val="5"/>
          <w:numId w:val="3"/>
        </w:numPr>
        <w:ind w:left="2880"/>
        <w:jc w:val="both"/>
        <w:rPr>
          <w:b/>
          <w:i/>
          <w:iCs/>
        </w:rPr>
      </w:pPr>
      <w:r w:rsidRPr="00104C73">
        <w:rPr>
          <w:i/>
          <w:iCs/>
        </w:rPr>
        <w:t xml:space="preserve">Referrals from the DPOs will be comprised of clients who have been assessed as meeting programmatic prerequisites. </w:t>
      </w:r>
    </w:p>
    <w:p w14:paraId="2C544FBE" w14:textId="77777777" w:rsidR="00104C73" w:rsidRPr="00104C73" w:rsidRDefault="00104C73" w:rsidP="00104C73">
      <w:pPr>
        <w:pStyle w:val="Itema0"/>
        <w:numPr>
          <w:ilvl w:val="5"/>
          <w:numId w:val="3"/>
        </w:numPr>
        <w:ind w:left="2880"/>
        <w:jc w:val="both"/>
        <w:rPr>
          <w:b/>
          <w:i/>
          <w:iCs/>
        </w:rPr>
      </w:pPr>
      <w:r w:rsidRPr="00104C73">
        <w:rPr>
          <w:i/>
          <w:iCs/>
        </w:rPr>
        <w:t>Referrals to the program may also be identified by the Contractor or other contracted organizations of ACPD.  In this event, Contractor must verify the eligibility of those referrals with ACPD through a standardized referral verification process.</w:t>
      </w:r>
    </w:p>
    <w:p w14:paraId="05F1C95F" w14:textId="72DDB58A" w:rsidR="00BE7E60" w:rsidRPr="0058207C" w:rsidRDefault="00BE7E60" w:rsidP="00A957C4">
      <w:pPr>
        <w:pStyle w:val="Itema0"/>
        <w:spacing w:after="0"/>
        <w:ind w:left="1080" w:firstLine="0"/>
        <w:jc w:val="both"/>
        <w:rPr>
          <w:b/>
          <w:i/>
          <w:iCs/>
        </w:rPr>
      </w:pPr>
      <w:r>
        <w:lastRenderedPageBreak/>
        <w:t>A</w:t>
      </w:r>
      <w:r w:rsidR="00104C73">
        <w:t>re a</w:t>
      </w:r>
      <w:r w:rsidR="0058207C">
        <w:t>ny</w:t>
      </w:r>
      <w:r>
        <w:t xml:space="preserve"> clients </w:t>
      </w:r>
      <w:r w:rsidR="0058207C">
        <w:t>who are on probation between the ages</w:t>
      </w:r>
      <w:r w:rsidR="00104C73">
        <w:t xml:space="preserve"> of </w:t>
      </w:r>
      <w:r w:rsidR="0058207C">
        <w:t xml:space="preserve"> 14 – 21 </w:t>
      </w:r>
      <w:r>
        <w:t xml:space="preserve">eligible to </w:t>
      </w:r>
      <w:r w:rsidR="00104C73">
        <w:t>receive services</w:t>
      </w:r>
      <w:r w:rsidR="0058207C">
        <w:t>? Or do they have to be approved by a Deputy Probation Officer</w:t>
      </w:r>
      <w:r w:rsidR="00104C73">
        <w:t xml:space="preserve"> (DPO)</w:t>
      </w:r>
      <w:r w:rsidR="0058207C">
        <w:t>?</w:t>
      </w:r>
    </w:p>
    <w:p w14:paraId="1E037DCB" w14:textId="77777777" w:rsidR="00104C73" w:rsidRDefault="00104C73" w:rsidP="00A957C4">
      <w:pPr>
        <w:numPr>
          <w:ilvl w:val="1"/>
          <w:numId w:val="1"/>
        </w:numPr>
        <w:tabs>
          <w:tab w:val="clear" w:pos="810"/>
          <w:tab w:val="num" w:pos="1080"/>
        </w:tabs>
        <w:autoSpaceDE w:val="0"/>
        <w:autoSpaceDN w:val="0"/>
        <w:adjustRightInd w:val="0"/>
        <w:ind w:left="1080" w:hanging="720"/>
        <w:jc w:val="both"/>
        <w:rPr>
          <w:rFonts w:ascii="Calibri" w:hAnsi="Calibri" w:cs="Calibri"/>
          <w:b/>
        </w:rPr>
      </w:pPr>
      <w:r>
        <w:rPr>
          <w:rFonts w:ascii="Calibri" w:hAnsi="Calibri" w:cs="Calibri"/>
          <w:b/>
        </w:rPr>
        <w:t>All clients to be serviced under this contract must be approved by a DPO (or other County designee).</w:t>
      </w:r>
    </w:p>
    <w:p w14:paraId="4C398C82" w14:textId="77777777" w:rsidR="00104C73" w:rsidRDefault="00104C73" w:rsidP="00104C73">
      <w:pPr>
        <w:autoSpaceDE w:val="0"/>
        <w:autoSpaceDN w:val="0"/>
        <w:adjustRightInd w:val="0"/>
        <w:ind w:left="1080"/>
        <w:jc w:val="both"/>
        <w:rPr>
          <w:rFonts w:ascii="Calibri" w:hAnsi="Calibri" w:cs="Calibri"/>
          <w:b/>
        </w:rPr>
      </w:pPr>
    </w:p>
    <w:p w14:paraId="6DEF1C73" w14:textId="188A89AF" w:rsidR="004D242F" w:rsidRDefault="00276676" w:rsidP="00104C73">
      <w:pPr>
        <w:autoSpaceDE w:val="0"/>
        <w:autoSpaceDN w:val="0"/>
        <w:adjustRightInd w:val="0"/>
        <w:ind w:left="1080"/>
        <w:jc w:val="both"/>
        <w:rPr>
          <w:rFonts w:ascii="Calibri" w:hAnsi="Calibri" w:cs="Calibri"/>
          <w:b/>
        </w:rPr>
      </w:pPr>
      <w:r>
        <w:rPr>
          <w:rFonts w:ascii="Calibri" w:hAnsi="Calibri" w:cs="Calibri"/>
          <w:b/>
        </w:rPr>
        <w:t xml:space="preserve">If </w:t>
      </w:r>
      <w:r w:rsidR="00104C73">
        <w:rPr>
          <w:rFonts w:ascii="Calibri" w:hAnsi="Calibri" w:cs="Calibri"/>
          <w:b/>
        </w:rPr>
        <w:t>a Contractor</w:t>
      </w:r>
      <w:r w:rsidR="00345599">
        <w:rPr>
          <w:rFonts w:ascii="Calibri" w:hAnsi="Calibri" w:cs="Calibri"/>
          <w:b/>
        </w:rPr>
        <w:t xml:space="preserve"> </w:t>
      </w:r>
      <w:r w:rsidR="00104C73">
        <w:rPr>
          <w:rFonts w:ascii="Calibri" w:hAnsi="Calibri" w:cs="Calibri"/>
          <w:b/>
        </w:rPr>
        <w:t xml:space="preserve">identifies a </w:t>
      </w:r>
      <w:r w:rsidR="00345599">
        <w:rPr>
          <w:rFonts w:ascii="Calibri" w:hAnsi="Calibri" w:cs="Calibri"/>
          <w:b/>
        </w:rPr>
        <w:t>client</w:t>
      </w:r>
      <w:r w:rsidR="00BE7E60">
        <w:rPr>
          <w:rFonts w:ascii="Calibri" w:hAnsi="Calibri" w:cs="Calibri"/>
          <w:b/>
        </w:rPr>
        <w:t xml:space="preserve"> </w:t>
      </w:r>
      <w:r w:rsidR="00104C73">
        <w:rPr>
          <w:rFonts w:ascii="Calibri" w:hAnsi="Calibri" w:cs="Calibri"/>
          <w:b/>
        </w:rPr>
        <w:t>that</w:t>
      </w:r>
      <w:r w:rsidR="00BE7E60">
        <w:rPr>
          <w:rFonts w:ascii="Calibri" w:hAnsi="Calibri" w:cs="Calibri"/>
          <w:b/>
        </w:rPr>
        <w:t xml:space="preserve"> </w:t>
      </w:r>
      <w:r w:rsidR="001C40AB">
        <w:rPr>
          <w:rFonts w:ascii="Calibri" w:hAnsi="Calibri" w:cs="Calibri"/>
          <w:b/>
        </w:rPr>
        <w:t xml:space="preserve">is not </w:t>
      </w:r>
      <w:r w:rsidR="00BE7E60">
        <w:rPr>
          <w:rFonts w:ascii="Calibri" w:hAnsi="Calibri" w:cs="Calibri"/>
          <w:b/>
        </w:rPr>
        <w:t xml:space="preserve">a referral directly from a </w:t>
      </w:r>
      <w:r>
        <w:rPr>
          <w:rFonts w:ascii="Calibri" w:hAnsi="Calibri" w:cs="Calibri"/>
          <w:b/>
        </w:rPr>
        <w:t>DPO</w:t>
      </w:r>
      <w:r w:rsidR="00BE7E60">
        <w:rPr>
          <w:rFonts w:ascii="Calibri" w:hAnsi="Calibri" w:cs="Calibri"/>
          <w:b/>
        </w:rPr>
        <w:t>, then</w:t>
      </w:r>
      <w:r w:rsidR="004D242F" w:rsidRPr="00985AE1">
        <w:rPr>
          <w:rFonts w:ascii="Calibri" w:hAnsi="Calibri" w:cs="Calibri"/>
          <w:b/>
        </w:rPr>
        <w:t xml:space="preserve"> </w:t>
      </w:r>
      <w:r w:rsidR="00104C73">
        <w:rPr>
          <w:rFonts w:ascii="Calibri" w:hAnsi="Calibri" w:cs="Calibri"/>
          <w:b/>
        </w:rPr>
        <w:t>the Contractor must</w:t>
      </w:r>
      <w:r>
        <w:rPr>
          <w:rFonts w:ascii="Calibri" w:hAnsi="Calibri" w:cs="Calibri"/>
          <w:b/>
        </w:rPr>
        <w:t xml:space="preserve"> </w:t>
      </w:r>
      <w:r w:rsidR="00BE7E60">
        <w:rPr>
          <w:rFonts w:ascii="Calibri" w:hAnsi="Calibri" w:cs="Calibri"/>
          <w:b/>
        </w:rPr>
        <w:t xml:space="preserve">fill out a </w:t>
      </w:r>
      <w:r>
        <w:rPr>
          <w:rFonts w:ascii="Calibri" w:hAnsi="Calibri" w:cs="Calibri"/>
          <w:b/>
        </w:rPr>
        <w:t>Client Verification</w:t>
      </w:r>
      <w:r w:rsidR="00BE7E60">
        <w:rPr>
          <w:rFonts w:ascii="Calibri" w:hAnsi="Calibri" w:cs="Calibri"/>
          <w:b/>
        </w:rPr>
        <w:t xml:space="preserve"> </w:t>
      </w:r>
      <w:r w:rsidR="001C40AB">
        <w:rPr>
          <w:rFonts w:ascii="Calibri" w:hAnsi="Calibri" w:cs="Calibri"/>
          <w:b/>
        </w:rPr>
        <w:t>F</w:t>
      </w:r>
      <w:r w:rsidR="00BE7E60">
        <w:rPr>
          <w:rFonts w:ascii="Calibri" w:hAnsi="Calibri" w:cs="Calibri"/>
          <w:b/>
        </w:rPr>
        <w:t>orm identifying the client</w:t>
      </w:r>
      <w:r w:rsidR="001C40AB">
        <w:rPr>
          <w:rFonts w:ascii="Calibri" w:hAnsi="Calibri" w:cs="Calibri"/>
          <w:b/>
        </w:rPr>
        <w:t xml:space="preserve">. </w:t>
      </w:r>
      <w:r w:rsidR="00104C73">
        <w:rPr>
          <w:rFonts w:ascii="Calibri" w:hAnsi="Calibri" w:cs="Calibri"/>
          <w:b/>
        </w:rPr>
        <w:t xml:space="preserve"> </w:t>
      </w:r>
      <w:r w:rsidR="001C40AB">
        <w:rPr>
          <w:rFonts w:ascii="Calibri" w:hAnsi="Calibri" w:cs="Calibri"/>
          <w:b/>
        </w:rPr>
        <w:t>This form will be sent</w:t>
      </w:r>
      <w:r w:rsidR="00BE7E60">
        <w:rPr>
          <w:rFonts w:ascii="Calibri" w:hAnsi="Calibri" w:cs="Calibri"/>
          <w:b/>
        </w:rPr>
        <w:t xml:space="preserve"> to the email address that will be provided by </w:t>
      </w:r>
      <w:r w:rsidR="00104C73">
        <w:rPr>
          <w:rFonts w:ascii="Calibri" w:hAnsi="Calibri" w:cs="Calibri"/>
          <w:b/>
        </w:rPr>
        <w:t>ACPD after contract award</w:t>
      </w:r>
      <w:r w:rsidR="00BE7E60">
        <w:rPr>
          <w:rFonts w:ascii="Calibri" w:hAnsi="Calibri" w:cs="Calibri"/>
          <w:b/>
        </w:rPr>
        <w:t xml:space="preserve">. </w:t>
      </w:r>
      <w:r w:rsidR="00104C73">
        <w:rPr>
          <w:rFonts w:ascii="Calibri" w:hAnsi="Calibri" w:cs="Calibri"/>
          <w:b/>
        </w:rPr>
        <w:t xml:space="preserve"> </w:t>
      </w:r>
      <w:r>
        <w:rPr>
          <w:rFonts w:ascii="Calibri" w:hAnsi="Calibri" w:cs="Calibri"/>
          <w:b/>
        </w:rPr>
        <w:t>Once a client is verified</w:t>
      </w:r>
      <w:r w:rsidR="00104C73">
        <w:rPr>
          <w:rFonts w:ascii="Calibri" w:hAnsi="Calibri" w:cs="Calibri"/>
          <w:b/>
        </w:rPr>
        <w:t xml:space="preserve">, </w:t>
      </w:r>
      <w:r>
        <w:rPr>
          <w:rFonts w:ascii="Calibri" w:hAnsi="Calibri" w:cs="Calibri"/>
          <w:b/>
        </w:rPr>
        <w:t xml:space="preserve">the DPO will send </w:t>
      </w:r>
      <w:r w:rsidR="001C40AB">
        <w:rPr>
          <w:rFonts w:ascii="Calibri" w:hAnsi="Calibri" w:cs="Calibri"/>
          <w:b/>
        </w:rPr>
        <w:t>an official</w:t>
      </w:r>
      <w:r>
        <w:rPr>
          <w:rFonts w:ascii="Calibri" w:hAnsi="Calibri" w:cs="Calibri"/>
          <w:b/>
        </w:rPr>
        <w:t xml:space="preserve"> referral form to the </w:t>
      </w:r>
      <w:r w:rsidR="00104C73">
        <w:rPr>
          <w:rFonts w:ascii="Calibri" w:hAnsi="Calibri" w:cs="Calibri"/>
          <w:b/>
        </w:rPr>
        <w:t>Contractor</w:t>
      </w:r>
      <w:r>
        <w:rPr>
          <w:rFonts w:ascii="Calibri" w:hAnsi="Calibri" w:cs="Calibri"/>
          <w:b/>
        </w:rPr>
        <w:t xml:space="preserve">. </w:t>
      </w:r>
    </w:p>
    <w:p w14:paraId="0923563A" w14:textId="77777777" w:rsidR="004D242F" w:rsidRPr="00985AE1" w:rsidRDefault="004D242F" w:rsidP="00A957C4">
      <w:pPr>
        <w:tabs>
          <w:tab w:val="num" w:pos="1080"/>
        </w:tabs>
        <w:ind w:left="1080" w:hanging="720"/>
        <w:jc w:val="both"/>
        <w:rPr>
          <w:rFonts w:ascii="Calibri" w:hAnsi="Calibri" w:cs="Calibri"/>
        </w:rPr>
      </w:pPr>
    </w:p>
    <w:p w14:paraId="2BAF98A8" w14:textId="7B197C0A" w:rsidR="004D242F" w:rsidRPr="00C7094E" w:rsidRDefault="00770F20" w:rsidP="00A957C4">
      <w:pPr>
        <w:numPr>
          <w:ilvl w:val="0"/>
          <w:numId w:val="1"/>
        </w:numPr>
        <w:tabs>
          <w:tab w:val="num" w:pos="1080"/>
        </w:tabs>
        <w:ind w:left="1080" w:hanging="720"/>
        <w:jc w:val="both"/>
        <w:rPr>
          <w:rFonts w:ascii="Calibri" w:hAnsi="Calibri" w:cs="Calibri"/>
          <w:b/>
        </w:rPr>
      </w:pPr>
      <w:bookmarkStart w:id="4" w:name="_Hlk22114030"/>
      <w:r>
        <w:rPr>
          <w:rFonts w:ascii="Calibri" w:hAnsi="Calibri" w:cs="Calibri"/>
        </w:rPr>
        <w:t>If a client is taken off of probation mid-service (e.g., judge’s order), will the client still be eligible to receive services and complete the program</w:t>
      </w:r>
      <w:r w:rsidR="006B071B" w:rsidRPr="00C7094E">
        <w:rPr>
          <w:rFonts w:ascii="Calibri" w:hAnsi="Calibri" w:cs="Calibri"/>
        </w:rPr>
        <w:t>?</w:t>
      </w:r>
    </w:p>
    <w:p w14:paraId="0A80379B" w14:textId="31DD79E0" w:rsidR="004D242F" w:rsidRPr="00C7094E" w:rsidRDefault="00770F20" w:rsidP="00A957C4">
      <w:pPr>
        <w:numPr>
          <w:ilvl w:val="1"/>
          <w:numId w:val="1"/>
        </w:numPr>
        <w:tabs>
          <w:tab w:val="clear" w:pos="810"/>
          <w:tab w:val="num" w:pos="1080"/>
        </w:tabs>
        <w:autoSpaceDE w:val="0"/>
        <w:autoSpaceDN w:val="0"/>
        <w:adjustRightInd w:val="0"/>
        <w:ind w:left="1080" w:hanging="720"/>
        <w:jc w:val="both"/>
        <w:rPr>
          <w:rFonts w:ascii="Calibri" w:hAnsi="Calibri" w:cs="Calibri"/>
          <w:b/>
        </w:rPr>
      </w:pPr>
      <w:r>
        <w:rPr>
          <w:rFonts w:ascii="Calibri" w:hAnsi="Calibri" w:cs="Calibri"/>
          <w:b/>
        </w:rPr>
        <w:t xml:space="preserve">This will be addressed during contract negotiations; however, the County intends to designate </w:t>
      </w:r>
      <w:r w:rsidR="00C7094E" w:rsidRPr="00C7094E">
        <w:rPr>
          <w:rFonts w:ascii="Calibri" w:hAnsi="Calibri" w:cs="Calibri"/>
          <w:b/>
        </w:rPr>
        <w:t xml:space="preserve">a timeframe to close </w:t>
      </w:r>
      <w:r>
        <w:rPr>
          <w:rFonts w:ascii="Calibri" w:hAnsi="Calibri" w:cs="Calibri"/>
          <w:b/>
        </w:rPr>
        <w:t>out a case under these, or like, circumstances.</w:t>
      </w:r>
    </w:p>
    <w:bookmarkEnd w:id="4"/>
    <w:p w14:paraId="73E1EF3A" w14:textId="77777777" w:rsidR="004D242F" w:rsidRPr="00985AE1" w:rsidRDefault="004D242F" w:rsidP="00A957C4">
      <w:pPr>
        <w:tabs>
          <w:tab w:val="num" w:pos="1080"/>
          <w:tab w:val="num" w:pos="1350"/>
        </w:tabs>
        <w:ind w:left="1080" w:hanging="720"/>
        <w:jc w:val="both"/>
        <w:rPr>
          <w:rFonts w:ascii="Calibri" w:hAnsi="Calibri" w:cs="Calibri"/>
        </w:rPr>
      </w:pPr>
    </w:p>
    <w:p w14:paraId="3DA36D92" w14:textId="3E9814F8" w:rsidR="004D242F" w:rsidRPr="00985AE1" w:rsidRDefault="006B071B" w:rsidP="00A957C4">
      <w:pPr>
        <w:numPr>
          <w:ilvl w:val="0"/>
          <w:numId w:val="1"/>
        </w:numPr>
        <w:tabs>
          <w:tab w:val="num" w:pos="1080"/>
        </w:tabs>
        <w:ind w:left="1080" w:hanging="720"/>
        <w:jc w:val="both"/>
        <w:rPr>
          <w:rFonts w:ascii="Calibri" w:hAnsi="Calibri" w:cs="Calibri"/>
          <w:b/>
        </w:rPr>
      </w:pPr>
      <w:r>
        <w:rPr>
          <w:rFonts w:ascii="Calibri" w:hAnsi="Calibri" w:cs="Calibri"/>
        </w:rPr>
        <w:t xml:space="preserve">If a client ends up reoffending, </w:t>
      </w:r>
      <w:r w:rsidR="00770F20">
        <w:rPr>
          <w:rFonts w:ascii="Calibri" w:hAnsi="Calibri" w:cs="Calibri"/>
        </w:rPr>
        <w:t>becomes incarcerated, and</w:t>
      </w:r>
      <w:r>
        <w:rPr>
          <w:rFonts w:ascii="Calibri" w:hAnsi="Calibri" w:cs="Calibri"/>
        </w:rPr>
        <w:t xml:space="preserve"> can no longer participate in the program</w:t>
      </w:r>
      <w:r w:rsidR="00770F20">
        <w:rPr>
          <w:rFonts w:ascii="Calibri" w:hAnsi="Calibri" w:cs="Calibri"/>
        </w:rPr>
        <w:t>…can that client be re-engaged once they come out of incarceration?  If so, what is the re-engagement process</w:t>
      </w:r>
      <w:r>
        <w:rPr>
          <w:rFonts w:ascii="Calibri" w:hAnsi="Calibri" w:cs="Calibri"/>
        </w:rPr>
        <w:t>?</w:t>
      </w:r>
    </w:p>
    <w:p w14:paraId="41AF4A4A" w14:textId="05CF8A5E" w:rsidR="004D242F" w:rsidRPr="00985AE1" w:rsidRDefault="006B071B" w:rsidP="00A957C4">
      <w:pPr>
        <w:numPr>
          <w:ilvl w:val="1"/>
          <w:numId w:val="1"/>
        </w:numPr>
        <w:tabs>
          <w:tab w:val="clear" w:pos="810"/>
          <w:tab w:val="num" w:pos="1080"/>
        </w:tabs>
        <w:autoSpaceDE w:val="0"/>
        <w:autoSpaceDN w:val="0"/>
        <w:adjustRightInd w:val="0"/>
        <w:ind w:left="1080" w:hanging="720"/>
        <w:jc w:val="both"/>
        <w:rPr>
          <w:rFonts w:ascii="Calibri" w:hAnsi="Calibri" w:cs="Calibri"/>
          <w:b/>
        </w:rPr>
      </w:pPr>
      <w:r>
        <w:rPr>
          <w:rFonts w:ascii="Calibri" w:hAnsi="Calibri" w:cs="Calibri"/>
          <w:b/>
        </w:rPr>
        <w:t xml:space="preserve">If </w:t>
      </w:r>
      <w:r w:rsidR="00F24F76">
        <w:rPr>
          <w:rFonts w:ascii="Calibri" w:hAnsi="Calibri" w:cs="Calibri"/>
          <w:b/>
        </w:rPr>
        <w:t xml:space="preserve">a </w:t>
      </w:r>
      <w:r>
        <w:rPr>
          <w:rFonts w:ascii="Calibri" w:hAnsi="Calibri" w:cs="Calibri"/>
          <w:b/>
        </w:rPr>
        <w:t xml:space="preserve">client comes back out into the community, </w:t>
      </w:r>
      <w:r w:rsidR="00770F20">
        <w:rPr>
          <w:rFonts w:ascii="Calibri" w:hAnsi="Calibri" w:cs="Calibri"/>
          <w:b/>
        </w:rPr>
        <w:t>the client can be re-engaged only after the client has gone through the referral process again.</w:t>
      </w:r>
    </w:p>
    <w:p w14:paraId="7CC1C0F6" w14:textId="77777777" w:rsidR="004D242F" w:rsidRPr="00985AE1" w:rsidRDefault="004D242F" w:rsidP="00A957C4">
      <w:pPr>
        <w:tabs>
          <w:tab w:val="num" w:pos="1080"/>
        </w:tabs>
        <w:ind w:left="1080" w:hanging="720"/>
        <w:jc w:val="both"/>
        <w:rPr>
          <w:rFonts w:ascii="Calibri" w:hAnsi="Calibri" w:cs="Calibri"/>
        </w:rPr>
      </w:pPr>
    </w:p>
    <w:p w14:paraId="30149388" w14:textId="4C3C163B" w:rsidR="004D242F" w:rsidRPr="00985AE1" w:rsidRDefault="00F24F76" w:rsidP="00A957C4">
      <w:pPr>
        <w:numPr>
          <w:ilvl w:val="0"/>
          <w:numId w:val="1"/>
        </w:numPr>
        <w:tabs>
          <w:tab w:val="num" w:pos="1080"/>
        </w:tabs>
        <w:ind w:left="1080" w:hanging="720"/>
        <w:jc w:val="both"/>
        <w:rPr>
          <w:rFonts w:ascii="Calibri" w:hAnsi="Calibri" w:cs="Calibri"/>
          <w:b/>
        </w:rPr>
      </w:pPr>
      <w:r>
        <w:rPr>
          <w:rFonts w:ascii="Calibri" w:hAnsi="Calibri" w:cs="Calibri"/>
        </w:rPr>
        <w:t xml:space="preserve">Regarding Camp </w:t>
      </w:r>
      <w:r w:rsidR="006B071B">
        <w:rPr>
          <w:rFonts w:ascii="Calibri" w:hAnsi="Calibri" w:cs="Calibri"/>
        </w:rPr>
        <w:t>Sweeney</w:t>
      </w:r>
      <w:r>
        <w:rPr>
          <w:rFonts w:ascii="Calibri" w:hAnsi="Calibri" w:cs="Calibri"/>
        </w:rPr>
        <w:t xml:space="preserve">, how </w:t>
      </w:r>
      <w:r w:rsidR="000E35A2">
        <w:rPr>
          <w:rFonts w:ascii="Calibri" w:hAnsi="Calibri" w:cs="Calibri"/>
        </w:rPr>
        <w:t>will referrals be determined</w:t>
      </w:r>
      <w:r>
        <w:rPr>
          <w:rFonts w:ascii="Calibri" w:hAnsi="Calibri" w:cs="Calibri"/>
        </w:rPr>
        <w:t xml:space="preserve">? </w:t>
      </w:r>
      <w:r w:rsidR="000E35A2">
        <w:rPr>
          <w:rFonts w:ascii="Calibri" w:hAnsi="Calibri" w:cs="Calibri"/>
        </w:rPr>
        <w:t xml:space="preserve">Camp Sweeney is in the Hayward Region (which is where and when services may begin); </w:t>
      </w:r>
      <w:r>
        <w:rPr>
          <w:rFonts w:ascii="Calibri" w:hAnsi="Calibri" w:cs="Calibri"/>
        </w:rPr>
        <w:t xml:space="preserve">but when they </w:t>
      </w:r>
      <w:r w:rsidR="000E35A2">
        <w:rPr>
          <w:rFonts w:ascii="Calibri" w:hAnsi="Calibri" w:cs="Calibri"/>
        </w:rPr>
        <w:t xml:space="preserve">are released and </w:t>
      </w:r>
      <w:r>
        <w:rPr>
          <w:rFonts w:ascii="Calibri" w:hAnsi="Calibri" w:cs="Calibri"/>
        </w:rPr>
        <w:t xml:space="preserve">go back home, it may be in a different region. </w:t>
      </w:r>
    </w:p>
    <w:p w14:paraId="40135FCA" w14:textId="7E23958C" w:rsidR="000E35A2" w:rsidRPr="000E35A2" w:rsidRDefault="000E35A2" w:rsidP="000E35A2">
      <w:pPr>
        <w:numPr>
          <w:ilvl w:val="1"/>
          <w:numId w:val="1"/>
        </w:numPr>
        <w:tabs>
          <w:tab w:val="clear" w:pos="810"/>
          <w:tab w:val="num" w:pos="1080"/>
        </w:tabs>
        <w:autoSpaceDE w:val="0"/>
        <w:autoSpaceDN w:val="0"/>
        <w:adjustRightInd w:val="0"/>
        <w:ind w:left="1080" w:hanging="720"/>
        <w:jc w:val="both"/>
        <w:rPr>
          <w:rFonts w:ascii="Calibri" w:hAnsi="Calibri" w:cs="Calibri"/>
        </w:rPr>
      </w:pPr>
      <w:r>
        <w:rPr>
          <w:rFonts w:ascii="Calibri" w:hAnsi="Calibri" w:cs="Calibri"/>
          <w:b/>
        </w:rPr>
        <w:t>A c</w:t>
      </w:r>
      <w:r w:rsidR="001C40AB">
        <w:rPr>
          <w:rFonts w:ascii="Calibri" w:hAnsi="Calibri" w:cs="Calibri"/>
          <w:b/>
        </w:rPr>
        <w:t xml:space="preserve">lient’s regional </w:t>
      </w:r>
      <w:r w:rsidR="000C6A8A">
        <w:rPr>
          <w:rFonts w:ascii="Calibri" w:hAnsi="Calibri" w:cs="Calibri"/>
          <w:b/>
        </w:rPr>
        <w:t>assignment is</w:t>
      </w:r>
      <w:r w:rsidR="002963E3">
        <w:rPr>
          <w:rFonts w:ascii="Calibri" w:hAnsi="Calibri" w:cs="Calibri"/>
          <w:b/>
        </w:rPr>
        <w:t xml:space="preserve"> determined </w:t>
      </w:r>
      <w:r>
        <w:rPr>
          <w:rFonts w:ascii="Calibri" w:hAnsi="Calibri" w:cs="Calibri"/>
          <w:b/>
        </w:rPr>
        <w:t xml:space="preserve">primarily </w:t>
      </w:r>
      <w:r w:rsidR="002963E3">
        <w:rPr>
          <w:rFonts w:ascii="Calibri" w:hAnsi="Calibri" w:cs="Calibri"/>
          <w:b/>
        </w:rPr>
        <w:t>by</w:t>
      </w:r>
      <w:r w:rsidR="00F24F76">
        <w:rPr>
          <w:rFonts w:ascii="Calibri" w:hAnsi="Calibri" w:cs="Calibri"/>
          <w:b/>
        </w:rPr>
        <w:t xml:space="preserve"> </w:t>
      </w:r>
      <w:r w:rsidR="000C6A8A">
        <w:rPr>
          <w:rFonts w:ascii="Calibri" w:hAnsi="Calibri" w:cs="Calibri"/>
          <w:b/>
        </w:rPr>
        <w:t>residential address</w:t>
      </w:r>
      <w:r w:rsidR="00F24F76">
        <w:rPr>
          <w:rFonts w:ascii="Calibri" w:hAnsi="Calibri" w:cs="Calibri"/>
          <w:b/>
        </w:rPr>
        <w:t>.</w:t>
      </w:r>
      <w:r>
        <w:rPr>
          <w:rFonts w:ascii="Calibri" w:hAnsi="Calibri" w:cs="Calibri"/>
          <w:b/>
        </w:rPr>
        <w:t xml:space="preserve">  However, there are other factors (location of school, dual-custody, Camp Sweeney, etc.) that can affect regional assignment.  Ultimately, the DPO will have final determination of regional assignment, including changing regional assignment based on need and appropriateness.</w:t>
      </w:r>
    </w:p>
    <w:p w14:paraId="7F6E8106" w14:textId="103443A2" w:rsidR="004D242F" w:rsidRPr="00985AE1" w:rsidRDefault="000E35A2" w:rsidP="000E35A2">
      <w:pPr>
        <w:autoSpaceDE w:val="0"/>
        <w:autoSpaceDN w:val="0"/>
        <w:adjustRightInd w:val="0"/>
        <w:ind w:left="1080"/>
        <w:jc w:val="both"/>
        <w:rPr>
          <w:rFonts w:ascii="Calibri" w:hAnsi="Calibri" w:cs="Calibri"/>
        </w:rPr>
      </w:pPr>
      <w:r w:rsidRPr="00985AE1">
        <w:rPr>
          <w:rFonts w:ascii="Calibri" w:hAnsi="Calibri" w:cs="Calibri"/>
        </w:rPr>
        <w:t xml:space="preserve"> </w:t>
      </w:r>
    </w:p>
    <w:p w14:paraId="4D58CE2C" w14:textId="21D7BDFD" w:rsidR="004D242F" w:rsidRPr="00985AE1" w:rsidRDefault="007C7B0D" w:rsidP="00A957C4">
      <w:pPr>
        <w:numPr>
          <w:ilvl w:val="0"/>
          <w:numId w:val="1"/>
        </w:numPr>
        <w:tabs>
          <w:tab w:val="num" w:pos="1080"/>
        </w:tabs>
        <w:ind w:left="1080" w:hanging="720"/>
        <w:jc w:val="both"/>
        <w:rPr>
          <w:rFonts w:ascii="Calibri" w:hAnsi="Calibri" w:cs="Calibri"/>
          <w:b/>
        </w:rPr>
      </w:pPr>
      <w:r>
        <w:rPr>
          <w:rFonts w:ascii="Calibri" w:hAnsi="Calibri" w:cs="Calibri"/>
        </w:rPr>
        <w:t>There</w:t>
      </w:r>
      <w:r w:rsidR="000E35A2">
        <w:rPr>
          <w:rFonts w:ascii="Calibri" w:hAnsi="Calibri" w:cs="Calibri"/>
        </w:rPr>
        <w:t xml:space="preserve"> are</w:t>
      </w:r>
      <w:r>
        <w:rPr>
          <w:rFonts w:ascii="Calibri" w:hAnsi="Calibri" w:cs="Calibri"/>
        </w:rPr>
        <w:t xml:space="preserve"> a lot of types of training referenced in the RFP, but it </w:t>
      </w:r>
      <w:r w:rsidR="000E35A2">
        <w:rPr>
          <w:rFonts w:ascii="Calibri" w:hAnsi="Calibri" w:cs="Calibri"/>
        </w:rPr>
        <w:t xml:space="preserve">does not </w:t>
      </w:r>
      <w:r>
        <w:rPr>
          <w:rFonts w:ascii="Calibri" w:hAnsi="Calibri" w:cs="Calibri"/>
        </w:rPr>
        <w:t xml:space="preserve">specify how many hours per training. Is that something the </w:t>
      </w:r>
      <w:r w:rsidR="000E35A2">
        <w:rPr>
          <w:rFonts w:ascii="Calibri" w:hAnsi="Calibri" w:cs="Calibri"/>
        </w:rPr>
        <w:t>B</w:t>
      </w:r>
      <w:r>
        <w:rPr>
          <w:rFonts w:ascii="Calibri" w:hAnsi="Calibri" w:cs="Calibri"/>
        </w:rPr>
        <w:t xml:space="preserve">idder </w:t>
      </w:r>
      <w:r w:rsidR="000E35A2">
        <w:rPr>
          <w:rFonts w:ascii="Calibri" w:hAnsi="Calibri" w:cs="Calibri"/>
        </w:rPr>
        <w:t>defines in its</w:t>
      </w:r>
      <w:r>
        <w:rPr>
          <w:rFonts w:ascii="Calibri" w:hAnsi="Calibri" w:cs="Calibri"/>
        </w:rPr>
        <w:t xml:space="preserve"> program?</w:t>
      </w:r>
    </w:p>
    <w:p w14:paraId="62EA45B9" w14:textId="2409F685" w:rsidR="004D242F" w:rsidRPr="00985AE1" w:rsidRDefault="000E35A2" w:rsidP="00A957C4">
      <w:pPr>
        <w:numPr>
          <w:ilvl w:val="1"/>
          <w:numId w:val="1"/>
        </w:numPr>
        <w:tabs>
          <w:tab w:val="clear" w:pos="810"/>
          <w:tab w:val="num" w:pos="1080"/>
        </w:tabs>
        <w:autoSpaceDE w:val="0"/>
        <w:autoSpaceDN w:val="0"/>
        <w:adjustRightInd w:val="0"/>
        <w:ind w:left="1080" w:hanging="720"/>
        <w:jc w:val="both"/>
        <w:rPr>
          <w:rFonts w:ascii="Calibri" w:hAnsi="Calibri" w:cs="Calibri"/>
          <w:b/>
        </w:rPr>
      </w:pPr>
      <w:r>
        <w:rPr>
          <w:rFonts w:ascii="Calibri" w:hAnsi="Calibri" w:cs="Calibri"/>
          <w:b/>
        </w:rPr>
        <w:t xml:space="preserve">Yes.  Bidders should include the trainings offered, including frequency and duration, as part of its </w:t>
      </w:r>
      <w:r w:rsidRPr="000E35A2">
        <w:rPr>
          <w:rFonts w:ascii="Calibri" w:hAnsi="Calibri" w:cs="Calibri"/>
          <w:b/>
          <w:i/>
          <w:iCs/>
        </w:rPr>
        <w:t>Program Design</w:t>
      </w:r>
      <w:r>
        <w:rPr>
          <w:rFonts w:ascii="Calibri" w:hAnsi="Calibri" w:cs="Calibri"/>
          <w:b/>
        </w:rPr>
        <w:t xml:space="preserve"> submittal.</w:t>
      </w:r>
    </w:p>
    <w:p w14:paraId="5081BEF2" w14:textId="77777777" w:rsidR="004D242F" w:rsidRPr="00985AE1" w:rsidRDefault="004D242F" w:rsidP="00A957C4">
      <w:pPr>
        <w:tabs>
          <w:tab w:val="num" w:pos="1080"/>
        </w:tabs>
        <w:ind w:left="1080" w:hanging="720"/>
        <w:jc w:val="both"/>
        <w:rPr>
          <w:rFonts w:ascii="Calibri" w:hAnsi="Calibri" w:cs="Calibri"/>
          <w:b/>
        </w:rPr>
      </w:pPr>
    </w:p>
    <w:p w14:paraId="4160F11D" w14:textId="77716910" w:rsidR="009E27AD" w:rsidRPr="009E27AD" w:rsidRDefault="009E27AD" w:rsidP="00A957C4">
      <w:pPr>
        <w:numPr>
          <w:ilvl w:val="0"/>
          <w:numId w:val="1"/>
        </w:numPr>
        <w:tabs>
          <w:tab w:val="num" w:pos="1080"/>
        </w:tabs>
        <w:ind w:left="1080" w:hanging="720"/>
        <w:jc w:val="both"/>
        <w:rPr>
          <w:rFonts w:ascii="Calibri" w:hAnsi="Calibri" w:cs="Calibri"/>
          <w:b/>
        </w:rPr>
      </w:pPr>
      <w:bookmarkStart w:id="5" w:name="_Hlk22114101"/>
      <w:r>
        <w:rPr>
          <w:rFonts w:ascii="Calibri" w:hAnsi="Calibri" w:cs="Calibri"/>
        </w:rPr>
        <w:t xml:space="preserve">Page 9 of the </w:t>
      </w:r>
      <w:r w:rsidR="000E35A2">
        <w:rPr>
          <w:rFonts w:ascii="Calibri" w:hAnsi="Calibri" w:cs="Calibri"/>
        </w:rPr>
        <w:t>Exhibit A – Bid Response Packet</w:t>
      </w:r>
      <w:r>
        <w:rPr>
          <w:rFonts w:ascii="Calibri" w:hAnsi="Calibri" w:cs="Calibri"/>
        </w:rPr>
        <w:t xml:space="preserve">, </w:t>
      </w:r>
      <w:r w:rsidR="000E35A2">
        <w:rPr>
          <w:rFonts w:ascii="Calibri" w:hAnsi="Calibri" w:cs="Calibri"/>
        </w:rPr>
        <w:t>Budget Form(s), Item</w:t>
      </w:r>
      <w:r>
        <w:rPr>
          <w:rFonts w:ascii="Calibri" w:hAnsi="Calibri" w:cs="Calibri"/>
        </w:rPr>
        <w:t xml:space="preserve"> 10</w:t>
      </w:r>
      <w:r w:rsidR="000E35A2">
        <w:rPr>
          <w:rFonts w:ascii="Calibri" w:hAnsi="Calibri" w:cs="Calibri"/>
        </w:rPr>
        <w:t>,</w:t>
      </w:r>
      <w:r>
        <w:rPr>
          <w:rFonts w:ascii="Calibri" w:hAnsi="Calibri" w:cs="Calibri"/>
        </w:rPr>
        <w:t xml:space="preserve"> states:</w:t>
      </w:r>
    </w:p>
    <w:p w14:paraId="1C87239B" w14:textId="54552E96" w:rsidR="004D242F" w:rsidRPr="000E35A2" w:rsidRDefault="000E35A2" w:rsidP="000E35A2">
      <w:pPr>
        <w:tabs>
          <w:tab w:val="num" w:pos="1080"/>
        </w:tabs>
        <w:spacing w:before="240" w:after="240"/>
        <w:ind w:left="1440"/>
        <w:jc w:val="both"/>
        <w:rPr>
          <w:rFonts w:ascii="Calibri" w:hAnsi="Calibri" w:cs="Calibri"/>
          <w:i/>
          <w:iCs/>
        </w:rPr>
      </w:pPr>
      <w:r w:rsidRPr="000E35A2">
        <w:rPr>
          <w:rFonts w:ascii="Calibri" w:hAnsi="Calibri" w:cs="Calibri"/>
          <w:b/>
          <w:i/>
          <w:iCs/>
          <w:szCs w:val="26"/>
        </w:rPr>
        <w:t>Participant Stipends</w:t>
      </w:r>
      <w:r w:rsidRPr="000E35A2">
        <w:rPr>
          <w:rFonts w:ascii="Calibri" w:hAnsi="Calibri" w:cs="Calibri"/>
          <w:bCs/>
          <w:i/>
          <w:iCs/>
          <w:szCs w:val="26"/>
        </w:rPr>
        <w:t xml:space="preserve"> represents funds used to remove barriers and support participants enrolled in the Bidder’s program</w:t>
      </w:r>
      <w:r w:rsidR="009E27AD" w:rsidRPr="000E35A2">
        <w:rPr>
          <w:rFonts w:ascii="Calibri" w:hAnsi="Calibri" w:cs="Calibri"/>
          <w:i/>
          <w:iCs/>
        </w:rPr>
        <w:t>.</w:t>
      </w:r>
      <w:r w:rsidR="004D242F" w:rsidRPr="000E35A2">
        <w:rPr>
          <w:rFonts w:ascii="Calibri" w:hAnsi="Calibri" w:cs="Calibri"/>
          <w:i/>
          <w:iCs/>
        </w:rPr>
        <w:t xml:space="preserve"> </w:t>
      </w:r>
    </w:p>
    <w:p w14:paraId="47F593F2" w14:textId="704D9809" w:rsidR="009E27AD" w:rsidRPr="009E27AD" w:rsidRDefault="000E35A2" w:rsidP="00A957C4">
      <w:pPr>
        <w:tabs>
          <w:tab w:val="num" w:pos="1080"/>
        </w:tabs>
        <w:ind w:left="1080"/>
        <w:jc w:val="both"/>
        <w:rPr>
          <w:rFonts w:ascii="Calibri" w:hAnsi="Calibri" w:cs="Calibri"/>
          <w:b/>
        </w:rPr>
      </w:pPr>
      <w:r>
        <w:rPr>
          <w:rFonts w:ascii="Calibri" w:hAnsi="Calibri" w:cs="Calibri"/>
        </w:rPr>
        <w:t xml:space="preserve">Can the County confirm that is </w:t>
      </w:r>
      <w:r w:rsidR="009E27AD">
        <w:rPr>
          <w:rFonts w:ascii="Calibri" w:hAnsi="Calibri" w:cs="Calibri"/>
        </w:rPr>
        <w:t>the correct definition?</w:t>
      </w:r>
    </w:p>
    <w:p w14:paraId="076DB50C" w14:textId="21E3F74C" w:rsidR="004D242F" w:rsidRPr="00985AE1" w:rsidRDefault="00100076" w:rsidP="00A957C4">
      <w:pPr>
        <w:numPr>
          <w:ilvl w:val="1"/>
          <w:numId w:val="1"/>
        </w:numPr>
        <w:tabs>
          <w:tab w:val="clear" w:pos="810"/>
          <w:tab w:val="num" w:pos="1080"/>
        </w:tabs>
        <w:autoSpaceDE w:val="0"/>
        <w:autoSpaceDN w:val="0"/>
        <w:adjustRightInd w:val="0"/>
        <w:ind w:left="1080" w:hanging="720"/>
        <w:jc w:val="both"/>
        <w:rPr>
          <w:rFonts w:ascii="Calibri" w:hAnsi="Calibri" w:cs="Calibri"/>
          <w:b/>
        </w:rPr>
      </w:pPr>
      <w:r>
        <w:rPr>
          <w:rFonts w:ascii="Calibri" w:hAnsi="Calibri" w:cs="Calibri"/>
          <w:b/>
        </w:rPr>
        <w:t>Yes</w:t>
      </w:r>
      <w:r w:rsidR="000E35A2">
        <w:rPr>
          <w:rFonts w:ascii="Calibri" w:hAnsi="Calibri" w:cs="Calibri"/>
          <w:b/>
        </w:rPr>
        <w:t>, that is the correct definition.</w:t>
      </w:r>
    </w:p>
    <w:bookmarkEnd w:id="5"/>
    <w:p w14:paraId="04DE9D6A" w14:textId="77777777" w:rsidR="004D242F" w:rsidRPr="00985AE1" w:rsidRDefault="004D242F" w:rsidP="00A957C4">
      <w:pPr>
        <w:tabs>
          <w:tab w:val="num" w:pos="1080"/>
        </w:tabs>
        <w:jc w:val="both"/>
        <w:rPr>
          <w:rFonts w:ascii="Calibri" w:hAnsi="Calibri" w:cs="Calibri"/>
        </w:rPr>
      </w:pPr>
    </w:p>
    <w:p w14:paraId="1609EF48" w14:textId="6D91D8B4" w:rsidR="00615365" w:rsidRPr="00615365" w:rsidRDefault="00615365" w:rsidP="00A957C4">
      <w:pPr>
        <w:numPr>
          <w:ilvl w:val="0"/>
          <w:numId w:val="1"/>
        </w:numPr>
        <w:tabs>
          <w:tab w:val="num" w:pos="1080"/>
        </w:tabs>
        <w:ind w:left="1080" w:hanging="720"/>
        <w:jc w:val="both"/>
        <w:rPr>
          <w:rFonts w:asciiTheme="minorHAnsi" w:hAnsiTheme="minorHAnsi" w:cstheme="minorHAnsi"/>
          <w:b/>
          <w:szCs w:val="26"/>
        </w:rPr>
      </w:pPr>
      <w:bookmarkStart w:id="6" w:name="_Hlk22114311"/>
      <w:r>
        <w:rPr>
          <w:rFonts w:asciiTheme="minorHAnsi" w:hAnsiTheme="minorHAnsi" w:cstheme="minorHAnsi"/>
          <w:szCs w:val="26"/>
        </w:rPr>
        <w:t xml:space="preserve">Page 16 of the RFP, Section </w:t>
      </w:r>
      <w:r w:rsidR="000E35A2">
        <w:rPr>
          <w:rFonts w:asciiTheme="minorHAnsi" w:hAnsiTheme="minorHAnsi" w:cstheme="minorHAnsi"/>
          <w:szCs w:val="26"/>
        </w:rPr>
        <w:t>E (PROGRAM FRAMEWORK REQUIREMENTS)</w:t>
      </w:r>
      <w:r>
        <w:rPr>
          <w:rFonts w:asciiTheme="minorHAnsi" w:hAnsiTheme="minorHAnsi" w:cstheme="minorHAnsi"/>
          <w:szCs w:val="26"/>
        </w:rPr>
        <w:t xml:space="preserve">, Item </w:t>
      </w:r>
      <w:r w:rsidR="000E35A2">
        <w:rPr>
          <w:rFonts w:asciiTheme="minorHAnsi" w:hAnsiTheme="minorHAnsi" w:cstheme="minorHAnsi"/>
          <w:szCs w:val="26"/>
        </w:rPr>
        <w:t>4.</w:t>
      </w:r>
      <w:r>
        <w:rPr>
          <w:rFonts w:asciiTheme="minorHAnsi" w:hAnsiTheme="minorHAnsi" w:cstheme="minorHAnsi"/>
          <w:szCs w:val="26"/>
        </w:rPr>
        <w:t>d</w:t>
      </w:r>
      <w:r w:rsidR="000E35A2">
        <w:rPr>
          <w:rFonts w:asciiTheme="minorHAnsi" w:hAnsiTheme="minorHAnsi" w:cstheme="minorHAnsi"/>
          <w:szCs w:val="26"/>
        </w:rPr>
        <w:t>., states:</w:t>
      </w:r>
    </w:p>
    <w:p w14:paraId="287695D8" w14:textId="376B0944" w:rsidR="00615365" w:rsidRPr="00615365" w:rsidRDefault="000E35A2" w:rsidP="000E35A2">
      <w:pPr>
        <w:tabs>
          <w:tab w:val="num" w:pos="1080"/>
        </w:tabs>
        <w:spacing w:before="240" w:after="240"/>
        <w:ind w:left="1440"/>
        <w:jc w:val="both"/>
        <w:rPr>
          <w:rFonts w:asciiTheme="minorHAnsi" w:hAnsiTheme="minorHAnsi" w:cstheme="minorHAnsi"/>
          <w:i/>
          <w:iCs/>
          <w:szCs w:val="26"/>
        </w:rPr>
      </w:pPr>
      <w:r w:rsidRPr="000E35A2">
        <w:rPr>
          <w:rFonts w:asciiTheme="minorHAnsi" w:hAnsiTheme="minorHAnsi" w:cstheme="minorHAnsi"/>
          <w:b/>
          <w:bCs/>
          <w:i/>
          <w:iCs/>
          <w:szCs w:val="26"/>
        </w:rPr>
        <w:t>Training and Workforce Development</w:t>
      </w:r>
      <w:r w:rsidRPr="000E35A2">
        <w:rPr>
          <w:rFonts w:asciiTheme="minorHAnsi" w:hAnsiTheme="minorHAnsi" w:cstheme="minorHAnsi"/>
          <w:i/>
          <w:iCs/>
          <w:szCs w:val="26"/>
        </w:rPr>
        <w:t>: Training on trauma and how to respond is available for all staff.  A human resource system incorporates trauma-informed principles in hiring, supervision, and staff evaluation.  Procedures are in place to support staff with trauma histories</w:t>
      </w:r>
      <w:r w:rsidR="00615365" w:rsidRPr="00615365">
        <w:rPr>
          <w:rFonts w:asciiTheme="minorHAnsi" w:hAnsiTheme="minorHAnsi" w:cstheme="minorHAnsi"/>
          <w:i/>
          <w:iCs/>
          <w:szCs w:val="26"/>
        </w:rPr>
        <w:t>.</w:t>
      </w:r>
    </w:p>
    <w:p w14:paraId="6B49A054" w14:textId="66560A83" w:rsidR="004D242F" w:rsidRPr="006114BA" w:rsidRDefault="00615365" w:rsidP="00A957C4">
      <w:pPr>
        <w:tabs>
          <w:tab w:val="num" w:pos="1080"/>
        </w:tabs>
        <w:ind w:left="1080"/>
        <w:jc w:val="both"/>
        <w:rPr>
          <w:rFonts w:asciiTheme="minorHAnsi" w:hAnsiTheme="minorHAnsi" w:cstheme="minorHAnsi"/>
          <w:b/>
          <w:szCs w:val="26"/>
        </w:rPr>
      </w:pPr>
      <w:r>
        <w:rPr>
          <w:rFonts w:asciiTheme="minorHAnsi" w:hAnsiTheme="minorHAnsi" w:cstheme="minorHAnsi"/>
          <w:szCs w:val="26"/>
        </w:rPr>
        <w:t xml:space="preserve">With regard </w:t>
      </w:r>
      <w:r w:rsidR="006114BA" w:rsidRPr="006114BA">
        <w:rPr>
          <w:rFonts w:asciiTheme="minorHAnsi" w:hAnsiTheme="minorHAnsi" w:cstheme="minorHAnsi"/>
          <w:szCs w:val="26"/>
        </w:rPr>
        <w:t>to the human resources system</w:t>
      </w:r>
      <w:r>
        <w:rPr>
          <w:rFonts w:asciiTheme="minorHAnsi" w:hAnsiTheme="minorHAnsi" w:cstheme="minorHAnsi"/>
          <w:szCs w:val="26"/>
        </w:rPr>
        <w:t>,</w:t>
      </w:r>
      <w:r w:rsidR="006114BA" w:rsidRPr="006114BA">
        <w:rPr>
          <w:rFonts w:asciiTheme="minorHAnsi" w:hAnsiTheme="minorHAnsi" w:cstheme="minorHAnsi"/>
          <w:szCs w:val="26"/>
        </w:rPr>
        <w:t xml:space="preserve"> </w:t>
      </w:r>
      <w:r>
        <w:rPr>
          <w:rFonts w:asciiTheme="minorHAnsi" w:hAnsiTheme="minorHAnsi" w:cstheme="minorHAnsi"/>
          <w:szCs w:val="26"/>
        </w:rPr>
        <w:t>w</w:t>
      </w:r>
      <w:r w:rsidR="006114BA" w:rsidRPr="006114BA">
        <w:rPr>
          <w:rFonts w:asciiTheme="minorHAnsi" w:hAnsiTheme="minorHAnsi" w:cstheme="minorHAnsi"/>
          <w:szCs w:val="26"/>
        </w:rPr>
        <w:t xml:space="preserve">hat evidence or documentation is the </w:t>
      </w:r>
      <w:r w:rsidR="002B5DE8">
        <w:rPr>
          <w:rFonts w:asciiTheme="minorHAnsi" w:hAnsiTheme="minorHAnsi" w:cstheme="minorHAnsi"/>
          <w:szCs w:val="26"/>
        </w:rPr>
        <w:t>C</w:t>
      </w:r>
      <w:r w:rsidR="006114BA" w:rsidRPr="006114BA">
        <w:rPr>
          <w:rFonts w:asciiTheme="minorHAnsi" w:hAnsiTheme="minorHAnsi" w:cstheme="minorHAnsi"/>
          <w:szCs w:val="26"/>
        </w:rPr>
        <w:t>ounty seeking to demonstrate satisfaction with this requirement?</w:t>
      </w:r>
    </w:p>
    <w:p w14:paraId="0298B8E5" w14:textId="7D640C56" w:rsidR="004D242F" w:rsidRPr="00985AE1" w:rsidRDefault="002B5DE8" w:rsidP="00A957C4">
      <w:pPr>
        <w:numPr>
          <w:ilvl w:val="1"/>
          <w:numId w:val="1"/>
        </w:numPr>
        <w:tabs>
          <w:tab w:val="clear" w:pos="810"/>
          <w:tab w:val="num" w:pos="1080"/>
        </w:tabs>
        <w:autoSpaceDE w:val="0"/>
        <w:autoSpaceDN w:val="0"/>
        <w:adjustRightInd w:val="0"/>
        <w:ind w:left="1080" w:hanging="720"/>
        <w:jc w:val="both"/>
        <w:rPr>
          <w:rFonts w:ascii="Calibri" w:hAnsi="Calibri" w:cs="Calibri"/>
          <w:b/>
        </w:rPr>
      </w:pPr>
      <w:r>
        <w:rPr>
          <w:rFonts w:ascii="Calibri" w:hAnsi="Calibri" w:cs="Calibri"/>
          <w:b/>
        </w:rPr>
        <w:t xml:space="preserve">The County </w:t>
      </w:r>
      <w:r w:rsidR="00100076">
        <w:rPr>
          <w:rFonts w:ascii="Calibri" w:hAnsi="Calibri" w:cs="Calibri"/>
          <w:b/>
        </w:rPr>
        <w:t xml:space="preserve">will verify if trauma informed training was made available to staff during our site visits and ongoing communication with </w:t>
      </w:r>
      <w:r>
        <w:rPr>
          <w:rFonts w:ascii="Calibri" w:hAnsi="Calibri" w:cs="Calibri"/>
          <w:b/>
        </w:rPr>
        <w:t>contractors.</w:t>
      </w:r>
    </w:p>
    <w:bookmarkEnd w:id="6"/>
    <w:p w14:paraId="37F9DEC4" w14:textId="77777777" w:rsidR="004D242F" w:rsidRPr="00985AE1" w:rsidRDefault="004D242F" w:rsidP="00A957C4">
      <w:pPr>
        <w:tabs>
          <w:tab w:val="num" w:pos="1080"/>
          <w:tab w:val="num" w:pos="1350"/>
        </w:tabs>
        <w:ind w:left="1080" w:hanging="720"/>
        <w:jc w:val="both"/>
        <w:rPr>
          <w:rFonts w:ascii="Calibri" w:hAnsi="Calibri" w:cs="Calibri"/>
        </w:rPr>
      </w:pPr>
    </w:p>
    <w:p w14:paraId="07E3DA2E" w14:textId="6A7324E0" w:rsidR="004D242F" w:rsidRPr="006114BA" w:rsidRDefault="006114BA" w:rsidP="00A957C4">
      <w:pPr>
        <w:numPr>
          <w:ilvl w:val="0"/>
          <w:numId w:val="1"/>
        </w:numPr>
        <w:tabs>
          <w:tab w:val="num" w:pos="1080"/>
        </w:tabs>
        <w:ind w:left="1080" w:hanging="720"/>
        <w:jc w:val="both"/>
        <w:rPr>
          <w:rFonts w:ascii="Calibri" w:hAnsi="Calibri" w:cs="Calibri"/>
          <w:bCs/>
        </w:rPr>
      </w:pPr>
      <w:bookmarkStart w:id="7" w:name="_Hlk22114343"/>
      <w:r>
        <w:rPr>
          <w:rFonts w:ascii="Calibri" w:hAnsi="Calibri" w:cs="Calibri"/>
          <w:bCs/>
        </w:rPr>
        <w:t xml:space="preserve">If </w:t>
      </w:r>
      <w:r w:rsidRPr="006114BA">
        <w:rPr>
          <w:rFonts w:ascii="Calibri" w:hAnsi="Calibri" w:cs="Calibri"/>
          <w:bCs/>
        </w:rPr>
        <w:t xml:space="preserve">a </w:t>
      </w:r>
      <w:r w:rsidR="002B5DE8">
        <w:rPr>
          <w:rFonts w:ascii="Calibri" w:hAnsi="Calibri" w:cs="Calibri"/>
          <w:bCs/>
        </w:rPr>
        <w:t>Contractor</w:t>
      </w:r>
      <w:r w:rsidRPr="006114BA">
        <w:rPr>
          <w:rFonts w:ascii="Calibri" w:hAnsi="Calibri" w:cs="Calibri"/>
          <w:bCs/>
        </w:rPr>
        <w:t xml:space="preserve"> has an Emergency Preparedness Plan, should the provider include it as an attachment for a response?</w:t>
      </w:r>
    </w:p>
    <w:p w14:paraId="4B35BA14" w14:textId="27F0DC44" w:rsidR="004D242F" w:rsidRPr="00985AE1" w:rsidRDefault="00100076" w:rsidP="00A957C4">
      <w:pPr>
        <w:numPr>
          <w:ilvl w:val="1"/>
          <w:numId w:val="1"/>
        </w:numPr>
        <w:tabs>
          <w:tab w:val="clear" w:pos="810"/>
          <w:tab w:val="num" w:pos="1080"/>
        </w:tabs>
        <w:autoSpaceDE w:val="0"/>
        <w:autoSpaceDN w:val="0"/>
        <w:adjustRightInd w:val="0"/>
        <w:ind w:left="1080" w:hanging="720"/>
        <w:jc w:val="both"/>
        <w:rPr>
          <w:rFonts w:ascii="Calibri" w:hAnsi="Calibri" w:cs="Calibri"/>
          <w:b/>
        </w:rPr>
      </w:pPr>
      <w:r>
        <w:rPr>
          <w:rFonts w:ascii="Calibri" w:hAnsi="Calibri" w:cs="Calibri"/>
          <w:b/>
        </w:rPr>
        <w:t>No</w:t>
      </w:r>
      <w:r w:rsidR="002B5DE8">
        <w:rPr>
          <w:rFonts w:ascii="Calibri" w:hAnsi="Calibri" w:cs="Calibri"/>
          <w:b/>
        </w:rPr>
        <w:t xml:space="preserve">.  Bidders do not need to include their Emergency Preparedness Plan with their bid response.  The plan will </w:t>
      </w:r>
      <w:r>
        <w:rPr>
          <w:rFonts w:ascii="Calibri" w:hAnsi="Calibri" w:cs="Calibri"/>
          <w:b/>
        </w:rPr>
        <w:t>be verified during the County’s site visits</w:t>
      </w:r>
      <w:r w:rsidR="002B5DE8">
        <w:rPr>
          <w:rFonts w:ascii="Calibri" w:hAnsi="Calibri" w:cs="Calibri"/>
          <w:b/>
        </w:rPr>
        <w:t>.</w:t>
      </w:r>
    </w:p>
    <w:bookmarkEnd w:id="7"/>
    <w:p w14:paraId="673060EA" w14:textId="77777777" w:rsidR="004D242F" w:rsidRPr="00985AE1" w:rsidRDefault="004D242F" w:rsidP="00A957C4">
      <w:pPr>
        <w:tabs>
          <w:tab w:val="num" w:pos="1080"/>
        </w:tabs>
        <w:ind w:left="1080" w:hanging="720"/>
        <w:jc w:val="both"/>
        <w:rPr>
          <w:rFonts w:ascii="Calibri" w:hAnsi="Calibri" w:cs="Calibri"/>
        </w:rPr>
      </w:pPr>
    </w:p>
    <w:p w14:paraId="4602CE12" w14:textId="72814BDC" w:rsidR="004D242F" w:rsidRPr="005E20FE" w:rsidRDefault="005E20FE" w:rsidP="00A957C4">
      <w:pPr>
        <w:numPr>
          <w:ilvl w:val="0"/>
          <w:numId w:val="1"/>
        </w:numPr>
        <w:tabs>
          <w:tab w:val="num" w:pos="1080"/>
        </w:tabs>
        <w:ind w:left="1080" w:hanging="720"/>
        <w:jc w:val="both"/>
        <w:rPr>
          <w:rFonts w:ascii="Calibri" w:hAnsi="Calibri" w:cs="Calibri"/>
          <w:bCs/>
        </w:rPr>
      </w:pPr>
      <w:r w:rsidRPr="005E20FE">
        <w:rPr>
          <w:rFonts w:ascii="Calibri" w:hAnsi="Calibri" w:cs="Calibri"/>
          <w:bCs/>
        </w:rPr>
        <w:t>Are Alameda County Office of Education-Alt Ed students and 601</w:t>
      </w:r>
      <w:r w:rsidR="002B5DE8">
        <w:rPr>
          <w:rFonts w:ascii="Calibri" w:hAnsi="Calibri" w:cs="Calibri"/>
          <w:bCs/>
        </w:rPr>
        <w:t>’</w:t>
      </w:r>
      <w:r w:rsidRPr="005E20FE">
        <w:rPr>
          <w:rFonts w:ascii="Calibri" w:hAnsi="Calibri" w:cs="Calibri"/>
          <w:bCs/>
        </w:rPr>
        <w:t>s eligible participants for this grant?</w:t>
      </w:r>
    </w:p>
    <w:p w14:paraId="74A852F1" w14:textId="37702468" w:rsidR="004D242F" w:rsidRPr="00985AE1" w:rsidRDefault="005E20FE" w:rsidP="00A957C4">
      <w:pPr>
        <w:numPr>
          <w:ilvl w:val="1"/>
          <w:numId w:val="1"/>
        </w:numPr>
        <w:tabs>
          <w:tab w:val="clear" w:pos="810"/>
          <w:tab w:val="num" w:pos="1080"/>
        </w:tabs>
        <w:autoSpaceDE w:val="0"/>
        <w:autoSpaceDN w:val="0"/>
        <w:adjustRightInd w:val="0"/>
        <w:ind w:left="1080" w:hanging="720"/>
        <w:jc w:val="both"/>
        <w:rPr>
          <w:rFonts w:ascii="Calibri" w:hAnsi="Calibri" w:cs="Calibri"/>
          <w:b/>
        </w:rPr>
      </w:pPr>
      <w:r>
        <w:rPr>
          <w:rFonts w:ascii="Calibri" w:hAnsi="Calibri" w:cs="Calibri"/>
          <w:b/>
        </w:rPr>
        <w:t>601 youth are eligible to be participants.</w:t>
      </w:r>
    </w:p>
    <w:p w14:paraId="7882CF8C" w14:textId="77777777" w:rsidR="004D242F" w:rsidRPr="00985AE1" w:rsidRDefault="004D242F" w:rsidP="00A957C4">
      <w:pPr>
        <w:tabs>
          <w:tab w:val="num" w:pos="1080"/>
        </w:tabs>
        <w:jc w:val="both"/>
        <w:rPr>
          <w:rFonts w:ascii="Calibri" w:hAnsi="Calibri" w:cs="Calibri"/>
          <w:b/>
        </w:rPr>
      </w:pPr>
    </w:p>
    <w:p w14:paraId="4D61328F" w14:textId="0716C22A" w:rsidR="004D242F" w:rsidRPr="00985AE1" w:rsidRDefault="005E20FE" w:rsidP="00A957C4">
      <w:pPr>
        <w:numPr>
          <w:ilvl w:val="0"/>
          <w:numId w:val="1"/>
        </w:numPr>
        <w:tabs>
          <w:tab w:val="num" w:pos="1080"/>
        </w:tabs>
        <w:ind w:left="1080" w:hanging="720"/>
        <w:jc w:val="both"/>
        <w:rPr>
          <w:rFonts w:ascii="Calibri" w:hAnsi="Calibri" w:cs="Calibri"/>
          <w:b/>
        </w:rPr>
      </w:pPr>
      <w:r>
        <w:rPr>
          <w:rFonts w:ascii="Calibri" w:hAnsi="Calibri" w:cs="Calibri"/>
        </w:rPr>
        <w:t xml:space="preserve">Are </w:t>
      </w:r>
      <w:r w:rsidRPr="005E20FE">
        <w:rPr>
          <w:rFonts w:ascii="Calibri" w:hAnsi="Calibri" w:cs="Calibri"/>
        </w:rPr>
        <w:t>nonprofits eligible</w:t>
      </w:r>
      <w:r>
        <w:rPr>
          <w:rFonts w:ascii="Calibri" w:hAnsi="Calibri" w:cs="Calibri"/>
        </w:rPr>
        <w:t xml:space="preserve"> </w:t>
      </w:r>
      <w:r w:rsidR="002B5DE8">
        <w:rPr>
          <w:rFonts w:ascii="Calibri" w:hAnsi="Calibri" w:cs="Calibri"/>
        </w:rPr>
        <w:t>to bid on this RFP</w:t>
      </w:r>
      <w:r>
        <w:rPr>
          <w:rFonts w:ascii="Calibri" w:hAnsi="Calibri" w:cs="Calibri"/>
        </w:rPr>
        <w:t>?</w:t>
      </w:r>
      <w:r w:rsidRPr="005E20FE">
        <w:rPr>
          <w:rFonts w:ascii="Calibri" w:hAnsi="Calibri" w:cs="Calibri"/>
        </w:rPr>
        <w:t xml:space="preserve"> If so, </w:t>
      </w:r>
      <w:r w:rsidR="002B5DE8">
        <w:rPr>
          <w:rFonts w:ascii="Calibri" w:hAnsi="Calibri" w:cs="Calibri"/>
        </w:rPr>
        <w:t>can</w:t>
      </w:r>
      <w:r w:rsidRPr="005E20FE">
        <w:rPr>
          <w:rFonts w:ascii="Calibri" w:hAnsi="Calibri" w:cs="Calibri"/>
        </w:rPr>
        <w:t xml:space="preserve"> questions on the registration form</w:t>
      </w:r>
      <w:r w:rsidR="002B5DE8">
        <w:rPr>
          <w:rFonts w:ascii="Calibri" w:hAnsi="Calibri" w:cs="Calibri"/>
        </w:rPr>
        <w:t xml:space="preserve"> be skipped</w:t>
      </w:r>
      <w:r w:rsidRPr="005E20FE">
        <w:rPr>
          <w:rFonts w:ascii="Calibri" w:hAnsi="Calibri" w:cs="Calibri"/>
        </w:rPr>
        <w:t>.</w:t>
      </w:r>
      <w:r w:rsidR="004D242F" w:rsidRPr="00985AE1">
        <w:rPr>
          <w:rFonts w:ascii="Calibri" w:hAnsi="Calibri" w:cs="Calibri"/>
        </w:rPr>
        <w:t xml:space="preserve"> </w:t>
      </w:r>
    </w:p>
    <w:p w14:paraId="75B27CE4" w14:textId="77777777" w:rsidR="002B5DE8" w:rsidRDefault="00100076" w:rsidP="00A957C4">
      <w:pPr>
        <w:numPr>
          <w:ilvl w:val="1"/>
          <w:numId w:val="1"/>
        </w:numPr>
        <w:tabs>
          <w:tab w:val="clear" w:pos="810"/>
          <w:tab w:val="num" w:pos="1080"/>
        </w:tabs>
        <w:autoSpaceDE w:val="0"/>
        <w:autoSpaceDN w:val="0"/>
        <w:adjustRightInd w:val="0"/>
        <w:ind w:left="1080" w:hanging="720"/>
        <w:jc w:val="both"/>
        <w:rPr>
          <w:rFonts w:ascii="Calibri" w:hAnsi="Calibri" w:cs="Calibri"/>
          <w:b/>
        </w:rPr>
      </w:pPr>
      <w:r>
        <w:rPr>
          <w:rFonts w:ascii="Calibri" w:hAnsi="Calibri" w:cs="Calibri"/>
          <w:b/>
        </w:rPr>
        <w:t>Yes</w:t>
      </w:r>
      <w:r w:rsidR="002B5DE8">
        <w:rPr>
          <w:rFonts w:ascii="Calibri" w:hAnsi="Calibri" w:cs="Calibri"/>
          <w:b/>
        </w:rPr>
        <w:t>.  No</w:t>
      </w:r>
      <w:r>
        <w:rPr>
          <w:rFonts w:ascii="Calibri" w:hAnsi="Calibri" w:cs="Calibri"/>
          <w:b/>
        </w:rPr>
        <w:t xml:space="preserve">n-profit organizations are eligible </w:t>
      </w:r>
      <w:r w:rsidR="002B5DE8">
        <w:rPr>
          <w:rFonts w:ascii="Calibri" w:hAnsi="Calibri" w:cs="Calibri"/>
          <w:b/>
        </w:rPr>
        <w:t>to bid on this RFP and are eligible for award</w:t>
      </w:r>
      <w:r>
        <w:rPr>
          <w:rFonts w:ascii="Calibri" w:hAnsi="Calibri" w:cs="Calibri"/>
          <w:b/>
        </w:rPr>
        <w:t>.</w:t>
      </w:r>
    </w:p>
    <w:p w14:paraId="2BC3DC5D" w14:textId="77777777" w:rsidR="002B5DE8" w:rsidRDefault="002B5DE8" w:rsidP="002B5DE8">
      <w:pPr>
        <w:autoSpaceDE w:val="0"/>
        <w:autoSpaceDN w:val="0"/>
        <w:adjustRightInd w:val="0"/>
        <w:ind w:left="1080"/>
        <w:jc w:val="both"/>
        <w:rPr>
          <w:rFonts w:ascii="Calibri" w:hAnsi="Calibri" w:cs="Calibri"/>
          <w:b/>
        </w:rPr>
      </w:pPr>
    </w:p>
    <w:p w14:paraId="24DD65CD" w14:textId="596EA2BA" w:rsidR="004D242F" w:rsidRPr="00985AE1" w:rsidRDefault="002B5DE8" w:rsidP="002B5DE8">
      <w:pPr>
        <w:autoSpaceDE w:val="0"/>
        <w:autoSpaceDN w:val="0"/>
        <w:adjustRightInd w:val="0"/>
        <w:ind w:left="1080"/>
        <w:jc w:val="both"/>
        <w:rPr>
          <w:rFonts w:ascii="Calibri" w:hAnsi="Calibri" w:cs="Calibri"/>
          <w:b/>
        </w:rPr>
      </w:pPr>
      <w:r>
        <w:rPr>
          <w:rFonts w:ascii="Calibri" w:hAnsi="Calibri" w:cs="Calibri"/>
          <w:b/>
        </w:rPr>
        <w:t xml:space="preserve">However, all </w:t>
      </w:r>
      <w:r w:rsidR="00100076">
        <w:rPr>
          <w:rFonts w:ascii="Calibri" w:hAnsi="Calibri" w:cs="Calibri"/>
          <w:b/>
        </w:rPr>
        <w:t xml:space="preserve">applicable questions on </w:t>
      </w:r>
      <w:r>
        <w:rPr>
          <w:rFonts w:ascii="Calibri" w:hAnsi="Calibri" w:cs="Calibri"/>
          <w:b/>
        </w:rPr>
        <w:t>any County</w:t>
      </w:r>
      <w:r w:rsidR="00100076">
        <w:rPr>
          <w:rFonts w:ascii="Calibri" w:hAnsi="Calibri" w:cs="Calibri"/>
          <w:b/>
        </w:rPr>
        <w:t xml:space="preserve"> registration form</w:t>
      </w:r>
      <w:r>
        <w:rPr>
          <w:rFonts w:ascii="Calibri" w:hAnsi="Calibri" w:cs="Calibri"/>
          <w:b/>
        </w:rPr>
        <w:t>s and/or County websites</w:t>
      </w:r>
      <w:r w:rsidR="00100076">
        <w:rPr>
          <w:rFonts w:ascii="Calibri" w:hAnsi="Calibri" w:cs="Calibri"/>
          <w:b/>
        </w:rPr>
        <w:t xml:space="preserve"> should be completed</w:t>
      </w:r>
      <w:r>
        <w:rPr>
          <w:rFonts w:ascii="Calibri" w:hAnsi="Calibri" w:cs="Calibri"/>
          <w:b/>
        </w:rPr>
        <w:t>.</w:t>
      </w:r>
    </w:p>
    <w:p w14:paraId="3B9FDF93" w14:textId="77777777" w:rsidR="004D242F" w:rsidRPr="00985AE1" w:rsidRDefault="004D242F" w:rsidP="004D242F">
      <w:pPr>
        <w:tabs>
          <w:tab w:val="num" w:pos="1080"/>
          <w:tab w:val="num" w:pos="1350"/>
        </w:tabs>
        <w:ind w:left="1080" w:hanging="720"/>
        <w:rPr>
          <w:rFonts w:ascii="Calibri" w:hAnsi="Calibri" w:cs="Calibri"/>
        </w:rPr>
      </w:pPr>
    </w:p>
    <w:sectPr w:rsidR="004D242F" w:rsidRPr="00985AE1" w:rsidSect="004D242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32DE2" w14:textId="77777777" w:rsidR="000E35A2" w:rsidRDefault="000E35A2" w:rsidP="004D242F">
      <w:r>
        <w:separator/>
      </w:r>
    </w:p>
  </w:endnote>
  <w:endnote w:type="continuationSeparator" w:id="0">
    <w:p w14:paraId="721ECDC3" w14:textId="77777777" w:rsidR="000E35A2" w:rsidRDefault="000E35A2"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4F945" w14:textId="6C04A07F" w:rsidR="000E35A2" w:rsidRPr="008F1AC7" w:rsidRDefault="000E35A2" w:rsidP="000E35A2">
    <w:pPr>
      <w:jc w:val="right"/>
      <w:rPr>
        <w:rFonts w:ascii="Calibri" w:hAnsi="Calibri" w:cs="Calibri"/>
        <w:sz w:val="20"/>
      </w:rPr>
    </w:pPr>
    <w:r w:rsidRPr="008F1AC7">
      <w:rPr>
        <w:rFonts w:ascii="Calibri" w:hAnsi="Calibri" w:cs="Calibri"/>
        <w:sz w:val="20"/>
      </w:rPr>
      <w:t>R</w:t>
    </w:r>
    <w:r>
      <w:rPr>
        <w:rFonts w:ascii="Calibri" w:hAnsi="Calibri" w:cs="Calibri"/>
        <w:sz w:val="20"/>
      </w:rPr>
      <w:t>FP</w:t>
    </w:r>
    <w:r w:rsidRPr="008F1AC7">
      <w:rPr>
        <w:rFonts w:ascii="Calibri" w:hAnsi="Calibri" w:cs="Calibri"/>
        <w:sz w:val="20"/>
      </w:rPr>
      <w:t xml:space="preserve"> No. </w:t>
    </w:r>
    <w:r>
      <w:rPr>
        <w:rFonts w:ascii="Calibri" w:hAnsi="Calibri" w:cs="Calibri"/>
        <w:sz w:val="20"/>
      </w:rPr>
      <w:t>901829</w:t>
    </w:r>
    <w:r w:rsidRPr="008F1AC7">
      <w:rPr>
        <w:rFonts w:ascii="Calibri" w:hAnsi="Calibri" w:cs="Calibri"/>
        <w:sz w:val="20"/>
      </w:rPr>
      <w:t xml:space="preserve">, </w:t>
    </w:r>
    <w:r>
      <w:rPr>
        <w:rFonts w:ascii="Calibri" w:hAnsi="Calibri" w:cs="Calibri"/>
        <w:sz w:val="20"/>
      </w:rPr>
      <w:t>Questions &amp; Answers</w:t>
    </w:r>
    <w:r w:rsidRPr="008F1AC7">
      <w:rPr>
        <w:rFonts w:ascii="Calibri" w:hAnsi="Calibri" w:cs="Calibri"/>
        <w:sz w:val="20"/>
      </w:rPr>
      <w:t xml:space="preserve"> </w:t>
    </w:r>
  </w:p>
  <w:p w14:paraId="341B8BE8" w14:textId="6BE91EAD" w:rsidR="000E35A2" w:rsidRDefault="000E35A2" w:rsidP="000E35A2">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DC0597">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11C1E" w14:textId="77777777" w:rsidR="000E35A2" w:rsidRPr="00A85450" w:rsidRDefault="000E35A2" w:rsidP="000E35A2">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6400B032" w14:textId="77777777" w:rsidR="000E35A2" w:rsidRPr="002041C1" w:rsidRDefault="000E35A2" w:rsidP="000E35A2">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BE58A2">
      <w:rPr>
        <w:rStyle w:val="Hyperlink"/>
        <w:rFonts w:ascii="Calibri" w:hAnsi="Calibri" w:cs="Calibri"/>
        <w:sz w:val="20"/>
        <w:u w:val="none"/>
      </w:rPr>
      <w:tab/>
    </w:r>
    <w:r>
      <w:rPr>
        <w:rFonts w:ascii="Calibri" w:hAnsi="Calibri" w:cs="Calibri"/>
        <w:sz w:val="16"/>
        <w:szCs w:val="16"/>
      </w:rPr>
      <w:t>Rev 2016</w:t>
    </w:r>
    <w:r w:rsidRPr="002041C1">
      <w:rPr>
        <w:rFonts w:ascii="Calibri" w:hAnsi="Calibri" w:cs="Calibri"/>
        <w:sz w:val="16"/>
        <w:szCs w:val="16"/>
      </w:rPr>
      <w:t>-</w:t>
    </w:r>
    <w:r>
      <w:rPr>
        <w:rFonts w:ascii="Calibri" w:hAnsi="Calibri" w:cs="Calibri"/>
        <w:sz w:val="16"/>
        <w:szCs w:val="16"/>
      </w:rPr>
      <w:t>3-9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5861A" w14:textId="77777777" w:rsidR="000E35A2" w:rsidRDefault="000E35A2" w:rsidP="004D242F">
      <w:r>
        <w:separator/>
      </w:r>
    </w:p>
  </w:footnote>
  <w:footnote w:type="continuationSeparator" w:id="0">
    <w:p w14:paraId="72AE5004" w14:textId="77777777" w:rsidR="000E35A2" w:rsidRDefault="000E35A2"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CCB41" w14:textId="77777777" w:rsidR="000E35A2" w:rsidRPr="004D242F" w:rsidRDefault="000E35A2" w:rsidP="000E35A2">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9264" behindDoc="1" locked="0" layoutInCell="0" allowOverlap="1" wp14:anchorId="5CD69AC9" wp14:editId="2FFCFA38">
          <wp:simplePos x="0" y="0"/>
          <wp:positionH relativeFrom="margin">
            <wp:posOffset>1382395</wp:posOffset>
          </wp:positionH>
          <wp:positionV relativeFrom="margin">
            <wp:posOffset>2367280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4D242F">
      <w:rPr>
        <w:rFonts w:ascii="Calibri" w:hAnsi="Calibri" w:cs="Calibri"/>
        <w:b/>
        <w:snapToGrid w:val="0"/>
        <w:szCs w:val="26"/>
      </w:rPr>
      <w:t>County of Alameda, General Services Agency – Procurement</w:t>
    </w:r>
  </w:p>
  <w:p w14:paraId="1ABE6152" w14:textId="0A87F096" w:rsidR="000E35A2" w:rsidRPr="004D242F" w:rsidRDefault="000E35A2" w:rsidP="000E35A2">
    <w:pPr>
      <w:pStyle w:val="Header"/>
      <w:jc w:val="center"/>
      <w:rPr>
        <w:rFonts w:ascii="Calibri" w:hAnsi="Calibri" w:cs="Calibri"/>
        <w:b/>
        <w:snapToGrid w:val="0"/>
        <w:szCs w:val="26"/>
      </w:rPr>
    </w:pPr>
    <w:r w:rsidRPr="004D242F">
      <w:rPr>
        <w:rFonts w:ascii="Calibri" w:hAnsi="Calibri" w:cs="Calibri"/>
        <w:b/>
        <w:snapToGrid w:val="0"/>
        <w:szCs w:val="26"/>
      </w:rPr>
      <w:t>RF</w:t>
    </w:r>
    <w:r>
      <w:rPr>
        <w:rFonts w:ascii="Calibri" w:hAnsi="Calibri" w:cs="Calibri"/>
        <w:b/>
        <w:snapToGrid w:val="0"/>
        <w:szCs w:val="26"/>
      </w:rPr>
      <w:t>P</w:t>
    </w:r>
    <w:r w:rsidRPr="004D242F">
      <w:rPr>
        <w:rFonts w:ascii="Calibri" w:hAnsi="Calibri" w:cs="Calibri"/>
        <w:b/>
        <w:snapToGrid w:val="0"/>
        <w:szCs w:val="26"/>
      </w:rPr>
      <w:t xml:space="preserve"> No. 90</w:t>
    </w:r>
    <w:r>
      <w:rPr>
        <w:rFonts w:ascii="Calibri" w:hAnsi="Calibri" w:cs="Calibri"/>
        <w:b/>
        <w:snapToGrid w:val="0"/>
        <w:szCs w:val="26"/>
      </w:rPr>
      <w:t>1829</w:t>
    </w:r>
    <w:r w:rsidRPr="004D242F">
      <w:rPr>
        <w:rFonts w:ascii="Calibri" w:hAnsi="Calibri" w:cs="Calibri"/>
        <w:b/>
        <w:snapToGrid w:val="0"/>
        <w:szCs w:val="26"/>
      </w:rPr>
      <w:t>, Questions &amp; Answers</w:t>
    </w:r>
  </w:p>
  <w:p w14:paraId="14A83F10" w14:textId="77777777" w:rsidR="000E35A2" w:rsidRDefault="000E35A2" w:rsidP="000E35A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C8FF7" w14:textId="77777777" w:rsidR="000E35A2" w:rsidRPr="00344563" w:rsidRDefault="000E35A2" w:rsidP="000E35A2">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14:anchorId="17181116" wp14:editId="11542B33">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7F953B"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14:anchorId="6509EB76" wp14:editId="489B06F3">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563">
      <w:rPr>
        <w:rFonts w:ascii="Californian FB" w:hAnsi="Californian FB"/>
        <w:b/>
        <w:color w:val="0F5683"/>
        <w:sz w:val="18"/>
        <w:szCs w:val="18"/>
      </w:rPr>
      <w:t>WILLIE A. HOPKINS, JR., Director</w:t>
    </w:r>
  </w:p>
  <w:p w14:paraId="1A1C02C6" w14:textId="77777777" w:rsidR="000E35A2" w:rsidRDefault="000E35A2">
    <w:pPr>
      <w:pStyle w:val="Header"/>
    </w:pPr>
    <w:r>
      <w:rPr>
        <w:rFonts w:ascii="Century Gothic" w:hAnsi="Century Gothic"/>
        <w:noProof/>
        <w:spacing w:val="60"/>
        <w:sz w:val="52"/>
      </w:rPr>
      <w:drawing>
        <wp:anchor distT="0" distB="0" distL="114300" distR="114300" simplePos="0" relativeHeight="251660288" behindDoc="1" locked="0" layoutInCell="0" allowOverlap="1" wp14:anchorId="7E66867E" wp14:editId="3E429765">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A78AEEAC"/>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b/>
        <w:bCs/>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BA44FA3"/>
    <w:multiLevelType w:val="hybridMultilevel"/>
    <w:tmpl w:val="D2361714"/>
    <w:lvl w:ilvl="0" w:tplc="13FAB9AC">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2C026D"/>
    <w:multiLevelType w:val="multilevel"/>
    <w:tmpl w:val="05E215B4"/>
    <w:lvl w:ilvl="0">
      <w:start w:val="1"/>
      <w:numFmt w:val="upperRoman"/>
      <w:lvlText w:val="%1."/>
      <w:lvlJc w:val="left"/>
      <w:pPr>
        <w:ind w:left="720" w:hanging="720"/>
      </w:pPr>
      <w:rPr>
        <w:rFonts w:ascii="Calibri" w:hAnsi="Calibri" w:cs="Calibri" w:hint="default"/>
        <w:b/>
        <w:i w:val="0"/>
        <w:caps/>
        <w:strike w:val="0"/>
        <w:dstrike w:val="0"/>
        <w:vanish w:val="0"/>
        <w:webHidden w:val="0"/>
        <w:color w:val="auto"/>
        <w:kern w:val="0"/>
        <w:sz w:val="30"/>
        <w:szCs w:val="30"/>
        <w:u w:val="none"/>
        <w:effect w:val="none"/>
        <w:vertAlign w:val="baseline"/>
        <w:specVanish w:val="0"/>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webHidden w:val="0"/>
        <w:color w:val="000000"/>
        <w:kern w:val="0"/>
        <w:sz w:val="28"/>
        <w:szCs w:val="28"/>
        <w:u w:val="none"/>
        <w:effect w:val="none"/>
        <w:vertAlign w:val="baseline"/>
        <w:specVanish w:val="0"/>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webHidden w:val="0"/>
        <w:color w:val="auto"/>
        <w:kern w:val="0"/>
        <w:sz w:val="26"/>
        <w:u w:val="none"/>
        <w:effect w:val="none"/>
        <w:vertAlign w:val="baseline"/>
        <w:specVanish w:val="0"/>
      </w:rPr>
    </w:lvl>
    <w:lvl w:ilvl="3">
      <w:start w:val="1"/>
      <w:numFmt w:val="lowerLetter"/>
      <w:lvlText w:val="%4."/>
      <w:lvlJc w:val="left"/>
      <w:pPr>
        <w:tabs>
          <w:tab w:val="num" w:pos="2160"/>
        </w:tabs>
        <w:ind w:left="2880" w:hanging="720"/>
      </w:pPr>
      <w:rPr>
        <w:rFonts w:ascii="Calibri" w:hAnsi="Calibri" w:cs="Times New Roman" w:hint="default"/>
        <w:b w:val="0"/>
        <w:i w:val="0"/>
        <w:caps w:val="0"/>
        <w:strike w:val="0"/>
        <w:dstrike w:val="0"/>
        <w:vanish w:val="0"/>
        <w:webHidden w:val="0"/>
        <w:color w:val="000000"/>
        <w:kern w:val="0"/>
        <w:sz w:val="26"/>
        <w:u w:val="none"/>
        <w:effect w:val="none"/>
        <w:vertAlign w:val="baseline"/>
        <w:specVanish w:val="0"/>
      </w:rPr>
    </w:lvl>
    <w:lvl w:ilvl="4">
      <w:start w:val="1"/>
      <w:numFmt w:val="decimal"/>
      <w:lvlText w:val="(%5)"/>
      <w:lvlJc w:val="left"/>
      <w:pPr>
        <w:tabs>
          <w:tab w:val="num" w:pos="2880"/>
        </w:tabs>
        <w:ind w:left="3600" w:hanging="720"/>
      </w:pPr>
      <w:rPr>
        <w:rFonts w:ascii="Calibri" w:hAnsi="Calibri" w:cs="Times New Roman" w:hint="default"/>
        <w:b w:val="0"/>
        <w:i w:val="0"/>
        <w:caps w:val="0"/>
        <w:strike w:val="0"/>
        <w:dstrike w:val="0"/>
        <w:vanish w:val="0"/>
        <w:webHidden w:val="0"/>
        <w:color w:val="000000"/>
        <w:kern w:val="0"/>
        <w:sz w:val="26"/>
        <w:u w:val="none"/>
        <w:effect w:val="none"/>
        <w:vertAlign w:val="baseline"/>
        <w:specVanish w:val="0"/>
      </w:rPr>
    </w:lvl>
    <w:lvl w:ilvl="5">
      <w:start w:val="1"/>
      <w:numFmt w:val="lowerLetter"/>
      <w:lvlText w:val="(%6)"/>
      <w:lvlJc w:val="left"/>
      <w:pPr>
        <w:ind w:left="4320" w:hanging="720"/>
      </w:pPr>
      <w:rPr>
        <w:rFonts w:ascii="Calibri" w:hAnsi="Calibri" w:cs="Times New Roman" w:hint="default"/>
        <w:b w:val="0"/>
        <w:i/>
        <w:iCs w:val="0"/>
        <w:caps w:val="0"/>
        <w:strike w:val="0"/>
        <w:dstrike w:val="0"/>
        <w:vanish w:val="0"/>
        <w:webHidden w:val="0"/>
        <w:color w:val="000000"/>
        <w:kern w:val="0"/>
        <w:sz w:val="26"/>
        <w:u w:val="none"/>
        <w:effect w:val="none"/>
        <w:vertAlign w:val="baseline"/>
        <w:specVanish w:val="0"/>
      </w:rPr>
    </w:lvl>
    <w:lvl w:ilvl="6">
      <w:start w:val="1"/>
      <w:numFmt w:val="lowerRoman"/>
      <w:lvlText w:val="%7."/>
      <w:lvlJc w:val="left"/>
      <w:pPr>
        <w:tabs>
          <w:tab w:val="num" w:pos="4320"/>
        </w:tabs>
        <w:ind w:left="5040" w:hanging="720"/>
      </w:pPr>
      <w:rPr>
        <w:rFonts w:ascii="Calibri" w:hAnsi="Calibri" w:cs="Times New Roman" w:hint="default"/>
        <w:b w:val="0"/>
        <w:i w:val="0"/>
        <w:caps w:val="0"/>
        <w:strike w:val="0"/>
        <w:dstrike w:val="0"/>
        <w:vanish w:val="0"/>
        <w:webHidden w:val="0"/>
        <w:color w:val="000000"/>
        <w:kern w:val="0"/>
        <w:sz w:val="26"/>
        <w:u w:val="none"/>
        <w:effect w:val="none"/>
        <w:vertAlign w:val="baseline"/>
        <w:specVanish w:val="0"/>
      </w:rPr>
    </w:lvl>
    <w:lvl w:ilvl="7">
      <w:start w:val="1"/>
      <w:numFmt w:val="lowerLetter"/>
      <w:lvlRestart w:val="0"/>
      <w:lvlText w:val="%8."/>
      <w:lvlJc w:val="left"/>
      <w:pPr>
        <w:ind w:left="2880" w:hanging="360"/>
      </w:pPr>
    </w:lvl>
    <w:lvl w:ilvl="8">
      <w:start w:val="1"/>
      <w:numFmt w:val="lowerRoman"/>
      <w:lvlText w:val="%9."/>
      <w:lvlJc w:val="left"/>
      <w:pPr>
        <w:ind w:left="3240" w:hanging="360"/>
      </w:pPr>
    </w:lvl>
  </w:abstractNum>
  <w:abstractNum w:abstractNumId="3" w15:restartNumberingAfterBreak="0">
    <w:nsid w:val="562E7C23"/>
    <w:multiLevelType w:val="hybridMultilevel"/>
    <w:tmpl w:val="3A7AB81E"/>
    <w:lvl w:ilvl="0" w:tplc="243C9E44">
      <w:start w:val="1"/>
      <w:numFmt w:val="lowerLetter"/>
      <w:lvlText w:val="(%1)"/>
      <w:lvlJc w:val="left"/>
      <w:pPr>
        <w:ind w:left="3096" w:hanging="360"/>
      </w:pPr>
      <w:rPr>
        <w:rFonts w:hint="default"/>
        <w:b w:val="0"/>
      </w:rPr>
    </w:lvl>
    <w:lvl w:ilvl="1" w:tplc="04090019" w:tentative="1">
      <w:start w:val="1"/>
      <w:numFmt w:val="lowerLetter"/>
      <w:lvlText w:val="%2."/>
      <w:lvlJc w:val="left"/>
      <w:pPr>
        <w:ind w:left="3816" w:hanging="360"/>
      </w:pPr>
    </w:lvl>
    <w:lvl w:ilvl="2" w:tplc="0409001B" w:tentative="1">
      <w:start w:val="1"/>
      <w:numFmt w:val="lowerRoman"/>
      <w:lvlText w:val="%3."/>
      <w:lvlJc w:val="right"/>
      <w:pPr>
        <w:ind w:left="4536" w:hanging="180"/>
      </w:pPr>
    </w:lvl>
    <w:lvl w:ilvl="3" w:tplc="0409000F" w:tentative="1">
      <w:start w:val="1"/>
      <w:numFmt w:val="decimal"/>
      <w:lvlText w:val="%4."/>
      <w:lvlJc w:val="left"/>
      <w:pPr>
        <w:ind w:left="5256" w:hanging="360"/>
      </w:pPr>
    </w:lvl>
    <w:lvl w:ilvl="4" w:tplc="04090019" w:tentative="1">
      <w:start w:val="1"/>
      <w:numFmt w:val="lowerLetter"/>
      <w:lvlText w:val="%5."/>
      <w:lvlJc w:val="left"/>
      <w:pPr>
        <w:ind w:left="5976" w:hanging="360"/>
      </w:pPr>
    </w:lvl>
    <w:lvl w:ilvl="5" w:tplc="0409001B" w:tentative="1">
      <w:start w:val="1"/>
      <w:numFmt w:val="lowerRoman"/>
      <w:lvlText w:val="%6."/>
      <w:lvlJc w:val="right"/>
      <w:pPr>
        <w:ind w:left="6696" w:hanging="180"/>
      </w:pPr>
    </w:lvl>
    <w:lvl w:ilvl="6" w:tplc="0409000F" w:tentative="1">
      <w:start w:val="1"/>
      <w:numFmt w:val="decimal"/>
      <w:lvlText w:val="%7."/>
      <w:lvlJc w:val="left"/>
      <w:pPr>
        <w:ind w:left="7416" w:hanging="360"/>
      </w:pPr>
    </w:lvl>
    <w:lvl w:ilvl="7" w:tplc="04090019" w:tentative="1">
      <w:start w:val="1"/>
      <w:numFmt w:val="lowerLetter"/>
      <w:lvlText w:val="%8."/>
      <w:lvlJc w:val="left"/>
      <w:pPr>
        <w:ind w:left="8136" w:hanging="360"/>
      </w:pPr>
    </w:lvl>
    <w:lvl w:ilvl="8" w:tplc="0409001B" w:tentative="1">
      <w:start w:val="1"/>
      <w:numFmt w:val="lowerRoman"/>
      <w:lvlText w:val="%9."/>
      <w:lvlJc w:val="right"/>
      <w:pPr>
        <w:ind w:left="8856" w:hanging="180"/>
      </w:pPr>
    </w:lvl>
  </w:abstractNum>
  <w:abstractNum w:abstractNumId="4" w15:restartNumberingAfterBreak="0">
    <w:nsid w:val="70677CBE"/>
    <w:multiLevelType w:val="hybridMultilevel"/>
    <w:tmpl w:val="A4D899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2F"/>
    <w:rsid w:val="00040036"/>
    <w:rsid w:val="000A1174"/>
    <w:rsid w:val="000C6A8A"/>
    <w:rsid w:val="000E35A2"/>
    <w:rsid w:val="000E367E"/>
    <w:rsid w:val="00100076"/>
    <w:rsid w:val="00104C73"/>
    <w:rsid w:val="001C40AB"/>
    <w:rsid w:val="002141E7"/>
    <w:rsid w:val="002334F3"/>
    <w:rsid w:val="00246597"/>
    <w:rsid w:val="0025231C"/>
    <w:rsid w:val="002661C0"/>
    <w:rsid w:val="00276676"/>
    <w:rsid w:val="002963E3"/>
    <w:rsid w:val="002B5DE8"/>
    <w:rsid w:val="002C1A36"/>
    <w:rsid w:val="00345599"/>
    <w:rsid w:val="00346CD4"/>
    <w:rsid w:val="004C25D1"/>
    <w:rsid w:val="004D242F"/>
    <w:rsid w:val="005116E8"/>
    <w:rsid w:val="0058207C"/>
    <w:rsid w:val="005E20FE"/>
    <w:rsid w:val="005E642B"/>
    <w:rsid w:val="005F00B4"/>
    <w:rsid w:val="006114BA"/>
    <w:rsid w:val="006126E5"/>
    <w:rsid w:val="00615365"/>
    <w:rsid w:val="00641F2B"/>
    <w:rsid w:val="00685CF3"/>
    <w:rsid w:val="006B071B"/>
    <w:rsid w:val="00723EB0"/>
    <w:rsid w:val="00760A7A"/>
    <w:rsid w:val="00770F20"/>
    <w:rsid w:val="007C7B0D"/>
    <w:rsid w:val="007F742C"/>
    <w:rsid w:val="00812A71"/>
    <w:rsid w:val="00823421"/>
    <w:rsid w:val="008939AF"/>
    <w:rsid w:val="008F0B8A"/>
    <w:rsid w:val="009E27AD"/>
    <w:rsid w:val="00A72A23"/>
    <w:rsid w:val="00A957C4"/>
    <w:rsid w:val="00AF730E"/>
    <w:rsid w:val="00B60008"/>
    <w:rsid w:val="00B66402"/>
    <w:rsid w:val="00B734B8"/>
    <w:rsid w:val="00BA29A0"/>
    <w:rsid w:val="00BC56E0"/>
    <w:rsid w:val="00BE58A2"/>
    <w:rsid w:val="00BE7E60"/>
    <w:rsid w:val="00C64893"/>
    <w:rsid w:val="00C7094E"/>
    <w:rsid w:val="00CD2032"/>
    <w:rsid w:val="00CE5E89"/>
    <w:rsid w:val="00D17C96"/>
    <w:rsid w:val="00D66E1A"/>
    <w:rsid w:val="00DA42E9"/>
    <w:rsid w:val="00DC0597"/>
    <w:rsid w:val="00DE4585"/>
    <w:rsid w:val="00EA08AF"/>
    <w:rsid w:val="00F24F76"/>
    <w:rsid w:val="00F72947"/>
    <w:rsid w:val="00FE475B"/>
    <w:rsid w:val="00FE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29DD14"/>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F72947"/>
    <w:pPr>
      <w:keepNext/>
      <w:ind w:left="720" w:hanging="720"/>
      <w:outlineLvl w:val="0"/>
    </w:pPr>
    <w:rPr>
      <w:rFonts w:ascii="Calibri" w:hAnsi="Calibri" w:cs="Calibri"/>
      <w:b/>
      <w:sz w:val="30"/>
      <w:u w:val="single"/>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character" w:customStyle="1" w:styleId="Heading1Char">
    <w:name w:val="Heading 1 Char"/>
    <w:basedOn w:val="DefaultParagraphFont"/>
    <w:link w:val="Heading1"/>
    <w:uiPriority w:val="9"/>
    <w:rsid w:val="00F72947"/>
    <w:rPr>
      <w:rFonts w:ascii="Calibri" w:eastAsia="Times New Roman" w:hAnsi="Calibri" w:cs="Calibri"/>
      <w:b/>
      <w:sz w:val="30"/>
      <w:szCs w:val="20"/>
      <w:u w:val="single"/>
    </w:rPr>
  </w:style>
  <w:style w:type="character" w:customStyle="1" w:styleId="Item1Char">
    <w:name w:val="Item 1 Char"/>
    <w:link w:val="Item1"/>
    <w:locked/>
    <w:rsid w:val="00F72947"/>
    <w:rPr>
      <w:rFonts w:ascii="Calibri" w:hAnsi="Calibri" w:cs="Calibri"/>
      <w:sz w:val="26"/>
    </w:rPr>
  </w:style>
  <w:style w:type="paragraph" w:customStyle="1" w:styleId="Item1">
    <w:name w:val="Item 1"/>
    <w:basedOn w:val="Normal"/>
    <w:link w:val="Item1Char"/>
    <w:qFormat/>
    <w:rsid w:val="00F72947"/>
    <w:pPr>
      <w:tabs>
        <w:tab w:val="num" w:pos="1440"/>
      </w:tabs>
      <w:spacing w:after="240"/>
      <w:ind w:left="2160" w:hanging="720"/>
    </w:pPr>
    <w:rPr>
      <w:rFonts w:ascii="Calibri" w:eastAsiaTheme="minorHAnsi" w:hAnsi="Calibri" w:cs="Calibri"/>
      <w:szCs w:val="22"/>
    </w:rPr>
  </w:style>
  <w:style w:type="paragraph" w:customStyle="1" w:styleId="Item10">
    <w:name w:val="Item (1)"/>
    <w:basedOn w:val="Itema"/>
    <w:link w:val="Item1Char0"/>
    <w:qFormat/>
    <w:rsid w:val="00F72947"/>
    <w:pPr>
      <w:tabs>
        <w:tab w:val="clear" w:pos="2160"/>
        <w:tab w:val="num" w:pos="2880"/>
      </w:tabs>
      <w:ind w:left="3600"/>
    </w:pPr>
  </w:style>
  <w:style w:type="paragraph" w:customStyle="1" w:styleId="Itema0">
    <w:name w:val="Item (a)"/>
    <w:basedOn w:val="Item10"/>
    <w:link w:val="ItemaChar0"/>
    <w:qFormat/>
    <w:rsid w:val="00F72947"/>
    <w:pPr>
      <w:tabs>
        <w:tab w:val="clear" w:pos="2880"/>
      </w:tabs>
      <w:ind w:left="4320"/>
    </w:pPr>
  </w:style>
  <w:style w:type="paragraph" w:customStyle="1" w:styleId="Itemi">
    <w:name w:val="Item i."/>
    <w:basedOn w:val="Itema0"/>
    <w:qFormat/>
    <w:rsid w:val="00F72947"/>
    <w:pPr>
      <w:tabs>
        <w:tab w:val="num" w:pos="4320"/>
      </w:tabs>
      <w:ind w:left="5040"/>
    </w:pPr>
  </w:style>
  <w:style w:type="character" w:customStyle="1" w:styleId="Item1Char0">
    <w:name w:val="Item (1) Char"/>
    <w:link w:val="Item10"/>
    <w:rsid w:val="00BE7E60"/>
    <w:rPr>
      <w:rFonts w:ascii="Calibri" w:eastAsia="Times New Roman" w:hAnsi="Calibri" w:cs="Calibri"/>
      <w:sz w:val="26"/>
      <w:szCs w:val="20"/>
    </w:rPr>
  </w:style>
  <w:style w:type="character" w:customStyle="1" w:styleId="ItemaChar0">
    <w:name w:val="Item (a) Char"/>
    <w:link w:val="Itema0"/>
    <w:rsid w:val="00BE7E60"/>
    <w:rPr>
      <w:rFonts w:ascii="Calibri" w:eastAsia="Times New Roman" w:hAnsi="Calibri" w:cs="Calibri"/>
      <w:sz w:val="26"/>
      <w:szCs w:val="20"/>
    </w:rPr>
  </w:style>
  <w:style w:type="paragraph" w:styleId="ListParagraph">
    <w:name w:val="List Paragraph"/>
    <w:basedOn w:val="Normal"/>
    <w:uiPriority w:val="34"/>
    <w:qFormat/>
    <w:rsid w:val="009E27AD"/>
    <w:pPr>
      <w:ind w:left="720"/>
      <w:contextualSpacing/>
    </w:pPr>
  </w:style>
  <w:style w:type="paragraph" w:styleId="BalloonText">
    <w:name w:val="Balloon Text"/>
    <w:basedOn w:val="Normal"/>
    <w:link w:val="BalloonTextChar"/>
    <w:uiPriority w:val="99"/>
    <w:semiHidden/>
    <w:unhideWhenUsed/>
    <w:rsid w:val="00760A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A7A"/>
    <w:rPr>
      <w:rFonts w:ascii="Segoe UI" w:eastAsia="Times New Roman" w:hAnsi="Segoe UI" w:cs="Segoe UI"/>
      <w:sz w:val="18"/>
      <w:szCs w:val="18"/>
    </w:rPr>
  </w:style>
  <w:style w:type="paragraph" w:styleId="Revision">
    <w:name w:val="Revision"/>
    <w:hidden/>
    <w:uiPriority w:val="99"/>
    <w:semiHidden/>
    <w:rsid w:val="001C40AB"/>
    <w:pPr>
      <w:spacing w:after="0" w:line="240" w:lineRule="auto"/>
    </w:pPr>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35915">
      <w:bodyDiv w:val="1"/>
      <w:marLeft w:val="0"/>
      <w:marRight w:val="0"/>
      <w:marTop w:val="0"/>
      <w:marBottom w:val="0"/>
      <w:divBdr>
        <w:top w:val="none" w:sz="0" w:space="0" w:color="auto"/>
        <w:left w:val="none" w:sz="0" w:space="0" w:color="auto"/>
        <w:bottom w:val="none" w:sz="0" w:space="0" w:color="auto"/>
        <w:right w:val="none" w:sz="0" w:space="0" w:color="auto"/>
      </w:divBdr>
    </w:div>
    <w:div w:id="450981695">
      <w:bodyDiv w:val="1"/>
      <w:marLeft w:val="0"/>
      <w:marRight w:val="0"/>
      <w:marTop w:val="0"/>
      <w:marBottom w:val="0"/>
      <w:divBdr>
        <w:top w:val="none" w:sz="0" w:space="0" w:color="auto"/>
        <w:left w:val="none" w:sz="0" w:space="0" w:color="auto"/>
        <w:bottom w:val="none" w:sz="0" w:space="0" w:color="auto"/>
        <w:right w:val="none" w:sz="0" w:space="0" w:color="auto"/>
      </w:divBdr>
    </w:div>
    <w:div w:id="771977655">
      <w:bodyDiv w:val="1"/>
      <w:marLeft w:val="0"/>
      <w:marRight w:val="0"/>
      <w:marTop w:val="0"/>
      <w:marBottom w:val="0"/>
      <w:divBdr>
        <w:top w:val="none" w:sz="0" w:space="0" w:color="auto"/>
        <w:left w:val="none" w:sz="0" w:space="0" w:color="auto"/>
        <w:bottom w:val="none" w:sz="0" w:space="0" w:color="auto"/>
        <w:right w:val="none" w:sz="0" w:space="0" w:color="auto"/>
      </w:divBdr>
    </w:div>
    <w:div w:id="785461654">
      <w:bodyDiv w:val="1"/>
      <w:marLeft w:val="0"/>
      <w:marRight w:val="0"/>
      <w:marTop w:val="0"/>
      <w:marBottom w:val="0"/>
      <w:divBdr>
        <w:top w:val="none" w:sz="0" w:space="0" w:color="auto"/>
        <w:left w:val="none" w:sz="0" w:space="0" w:color="auto"/>
        <w:bottom w:val="none" w:sz="0" w:space="0" w:color="auto"/>
        <w:right w:val="none" w:sz="0" w:space="0" w:color="auto"/>
      </w:divBdr>
    </w:div>
    <w:div w:id="969944551">
      <w:bodyDiv w:val="1"/>
      <w:marLeft w:val="0"/>
      <w:marRight w:val="0"/>
      <w:marTop w:val="0"/>
      <w:marBottom w:val="0"/>
      <w:divBdr>
        <w:top w:val="none" w:sz="0" w:space="0" w:color="auto"/>
        <w:left w:val="none" w:sz="0" w:space="0" w:color="auto"/>
        <w:bottom w:val="none" w:sz="0" w:space="0" w:color="auto"/>
        <w:right w:val="none" w:sz="0" w:space="0" w:color="auto"/>
      </w:divBdr>
    </w:div>
    <w:div w:id="1190486343">
      <w:bodyDiv w:val="1"/>
      <w:marLeft w:val="0"/>
      <w:marRight w:val="0"/>
      <w:marTop w:val="0"/>
      <w:marBottom w:val="0"/>
      <w:divBdr>
        <w:top w:val="none" w:sz="0" w:space="0" w:color="auto"/>
        <w:left w:val="none" w:sz="0" w:space="0" w:color="auto"/>
        <w:bottom w:val="none" w:sz="0" w:space="0" w:color="auto"/>
        <w:right w:val="none" w:sz="0" w:space="0" w:color="auto"/>
      </w:divBdr>
    </w:div>
    <w:div w:id="1270236653">
      <w:bodyDiv w:val="1"/>
      <w:marLeft w:val="0"/>
      <w:marRight w:val="0"/>
      <w:marTop w:val="0"/>
      <w:marBottom w:val="0"/>
      <w:divBdr>
        <w:top w:val="none" w:sz="0" w:space="0" w:color="auto"/>
        <w:left w:val="none" w:sz="0" w:space="0" w:color="auto"/>
        <w:bottom w:val="none" w:sz="0" w:space="0" w:color="auto"/>
        <w:right w:val="none" w:sz="0" w:space="0" w:color="auto"/>
      </w:divBdr>
    </w:div>
    <w:div w:id="1440492731">
      <w:bodyDiv w:val="1"/>
      <w:marLeft w:val="0"/>
      <w:marRight w:val="0"/>
      <w:marTop w:val="0"/>
      <w:marBottom w:val="0"/>
      <w:divBdr>
        <w:top w:val="none" w:sz="0" w:space="0" w:color="auto"/>
        <w:left w:val="none" w:sz="0" w:space="0" w:color="auto"/>
        <w:bottom w:val="none" w:sz="0" w:space="0" w:color="auto"/>
        <w:right w:val="none" w:sz="0" w:space="0" w:color="auto"/>
      </w:divBdr>
    </w:div>
    <w:div w:id="1572037374">
      <w:bodyDiv w:val="1"/>
      <w:marLeft w:val="0"/>
      <w:marRight w:val="0"/>
      <w:marTop w:val="0"/>
      <w:marBottom w:val="0"/>
      <w:divBdr>
        <w:top w:val="none" w:sz="0" w:space="0" w:color="auto"/>
        <w:left w:val="none" w:sz="0" w:space="0" w:color="auto"/>
        <w:bottom w:val="none" w:sz="0" w:space="0" w:color="auto"/>
        <w:right w:val="none" w:sz="0" w:space="0" w:color="auto"/>
      </w:divBdr>
    </w:div>
    <w:div w:id="1743525260">
      <w:bodyDiv w:val="1"/>
      <w:marLeft w:val="0"/>
      <w:marRight w:val="0"/>
      <w:marTop w:val="0"/>
      <w:marBottom w:val="0"/>
      <w:divBdr>
        <w:top w:val="none" w:sz="0" w:space="0" w:color="auto"/>
        <w:left w:val="none" w:sz="0" w:space="0" w:color="auto"/>
        <w:bottom w:val="none" w:sz="0" w:space="0" w:color="auto"/>
        <w:right w:val="none" w:sz="0" w:space="0" w:color="auto"/>
      </w:divBdr>
    </w:div>
    <w:div w:id="1766337141">
      <w:bodyDiv w:val="1"/>
      <w:marLeft w:val="0"/>
      <w:marRight w:val="0"/>
      <w:marTop w:val="0"/>
      <w:marBottom w:val="0"/>
      <w:divBdr>
        <w:top w:val="none" w:sz="0" w:space="0" w:color="auto"/>
        <w:left w:val="none" w:sz="0" w:space="0" w:color="auto"/>
        <w:bottom w:val="none" w:sz="0" w:space="0" w:color="auto"/>
        <w:right w:val="none" w:sz="0" w:space="0" w:color="auto"/>
      </w:divBdr>
    </w:div>
    <w:div w:id="198010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gov.org/gsa_app/gsa/purchasing/bid_content/contractopportunities.jsp"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C14DF29C4ED84CA7A7359B9A228B48" ma:contentTypeVersion="2" ma:contentTypeDescription="Create a new document." ma:contentTypeScope="" ma:versionID="f751561ba475c97b9bdd245fec5acea5">
  <xsd:schema xmlns:xsd="http://www.w3.org/2001/XMLSchema" xmlns:xs="http://www.w3.org/2001/XMLSchema" xmlns:p="http://schemas.microsoft.com/office/2006/metadata/properties" xmlns:ns3="dd9b6278-d5f5-4344-9c61-6d2270459c15" targetNamespace="http://schemas.microsoft.com/office/2006/metadata/properties" ma:root="true" ma:fieldsID="e236372142d73b5e525150713bc40df9" ns3:_="">
    <xsd:import namespace="dd9b6278-d5f5-4344-9c61-6d2270459c1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b6278-d5f5-4344-9c61-6d2270459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C791D-8404-4133-87A5-8D0D7120D961}">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dd9b6278-d5f5-4344-9c61-6d2270459c15"/>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354CC84-E6DC-492F-95BC-966F2FA24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b6278-d5f5-4344-9c61-6d2270459c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7EF96B-5793-4B9B-9094-784ED786E409}">
  <ds:schemaRefs>
    <ds:schemaRef ds:uri="http://schemas.microsoft.com/sharepoint/v3/contenttype/forms"/>
  </ds:schemaRefs>
</ds:datastoreItem>
</file>

<file path=customXml/itemProps4.xml><?xml version="1.0" encoding="utf-8"?>
<ds:datastoreItem xmlns:ds="http://schemas.openxmlformats.org/officeDocument/2006/customXml" ds:itemID="{2157AD3D-60C4-4894-9249-381270A77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2043</Words>
  <Characters>11648</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Truong, Thuy   GSA - Purchasing Department</dc:creator>
  <cp:keywords/>
  <dc:description/>
  <cp:lastModifiedBy>Hopkins, Lucretia, GSA - Office of Acquisition Policy</cp:lastModifiedBy>
  <cp:revision>2</cp:revision>
  <dcterms:created xsi:type="dcterms:W3CDTF">2019-10-22T15:44:00Z</dcterms:created>
  <dcterms:modified xsi:type="dcterms:W3CDTF">2019-10-22T15:44:00Z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0x01010009C14DF29C4ED84CA7A7359B9A228B48</vt:lpwstr>
  </property>
</Properties>
</file>