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3E45CCA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 xml:space="preserve">ADDENDUM No. </w:t>
      </w:r>
      <w:r w:rsidR="00A03935">
        <w:rPr>
          <w:rFonts w:ascii="Calibri" w:hAnsi="Calibri" w:cs="Calibri"/>
          <w:sz w:val="40"/>
          <w:szCs w:val="40"/>
        </w:rPr>
        <w:t>1</w:t>
      </w:r>
    </w:p>
    <w:p w14:paraId="208FF390" w14:textId="77777777" w:rsidR="00501E3D" w:rsidRPr="00057662" w:rsidRDefault="00501E3D" w:rsidP="00501E3D">
      <w:pPr>
        <w:pStyle w:val="RFP-QHeader2"/>
        <w:rPr>
          <w:rFonts w:ascii="Calibri" w:hAnsi="Calibri" w:cs="Calibri"/>
          <w:sz w:val="20"/>
        </w:rPr>
      </w:pPr>
    </w:p>
    <w:p w14:paraId="4D7F9A2D" w14:textId="7777777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to</w:t>
      </w:r>
    </w:p>
    <w:p w14:paraId="334A9966" w14:textId="77777777" w:rsidR="00501E3D" w:rsidRPr="00057662" w:rsidRDefault="00501E3D" w:rsidP="00501E3D">
      <w:pPr>
        <w:pStyle w:val="RFP-QHeader2"/>
        <w:rPr>
          <w:rFonts w:ascii="Calibri" w:hAnsi="Calibri" w:cs="Calibri"/>
          <w:sz w:val="20"/>
        </w:rPr>
      </w:pPr>
    </w:p>
    <w:p w14:paraId="4FEBAADB" w14:textId="573DDBE2" w:rsidR="00501E3D" w:rsidRPr="00A03935" w:rsidRDefault="00501E3D" w:rsidP="00501E3D">
      <w:pPr>
        <w:pStyle w:val="Subtitle"/>
        <w:rPr>
          <w:rFonts w:ascii="Calibri" w:hAnsi="Calibri" w:cs="Calibri"/>
          <w:color w:val="262626" w:themeColor="text1" w:themeTint="D9"/>
          <w:sz w:val="40"/>
          <w:szCs w:val="40"/>
        </w:rPr>
      </w:pPr>
      <w:r w:rsidRPr="00A03935">
        <w:rPr>
          <w:rFonts w:ascii="Calibri" w:hAnsi="Calibri" w:cs="Calibri"/>
          <w:color w:val="262626" w:themeColor="text1" w:themeTint="D9"/>
          <w:sz w:val="40"/>
          <w:szCs w:val="40"/>
        </w:rPr>
        <w:t xml:space="preserve">RFP No. </w:t>
      </w:r>
      <w:r w:rsidR="00A03935" w:rsidRPr="00A03935">
        <w:rPr>
          <w:rFonts w:ascii="Calibri" w:hAnsi="Calibri" w:cs="Calibri"/>
          <w:color w:val="262626" w:themeColor="text1" w:themeTint="D9"/>
          <w:sz w:val="40"/>
          <w:szCs w:val="40"/>
        </w:rPr>
        <w:t>901986</w:t>
      </w:r>
    </w:p>
    <w:p w14:paraId="1F06745E" w14:textId="77777777" w:rsidR="00501E3D" w:rsidRPr="00A03935" w:rsidRDefault="00501E3D" w:rsidP="00501E3D">
      <w:pPr>
        <w:pStyle w:val="RFP-QHeader2"/>
        <w:rPr>
          <w:rFonts w:ascii="Calibri" w:hAnsi="Calibri" w:cs="Calibri"/>
          <w:color w:val="262626" w:themeColor="text1" w:themeTint="D9"/>
          <w:sz w:val="20"/>
        </w:rPr>
      </w:pPr>
    </w:p>
    <w:p w14:paraId="55AB07B3" w14:textId="77777777" w:rsidR="00501E3D" w:rsidRPr="00A03935" w:rsidRDefault="00501E3D" w:rsidP="00501E3D">
      <w:pPr>
        <w:pStyle w:val="Heading3"/>
        <w:rPr>
          <w:rFonts w:ascii="Calibri" w:hAnsi="Calibri" w:cs="Calibri"/>
          <w:color w:val="262626" w:themeColor="text1" w:themeTint="D9"/>
          <w:sz w:val="40"/>
          <w:szCs w:val="40"/>
        </w:rPr>
      </w:pPr>
      <w:r w:rsidRPr="00A03935">
        <w:rPr>
          <w:rFonts w:ascii="Calibri" w:hAnsi="Calibri" w:cs="Calibri"/>
          <w:color w:val="262626" w:themeColor="text1" w:themeTint="D9"/>
          <w:sz w:val="40"/>
          <w:szCs w:val="40"/>
        </w:rPr>
        <w:t>for</w:t>
      </w:r>
    </w:p>
    <w:p w14:paraId="1D5337CB" w14:textId="77777777" w:rsidR="00501E3D" w:rsidRPr="00A03935" w:rsidRDefault="00501E3D" w:rsidP="00501E3D">
      <w:pPr>
        <w:pStyle w:val="RFP-QHeader2"/>
        <w:rPr>
          <w:rFonts w:ascii="Calibri" w:hAnsi="Calibri" w:cs="Calibri"/>
          <w:color w:val="262626" w:themeColor="text1" w:themeTint="D9"/>
          <w:sz w:val="20"/>
        </w:rPr>
      </w:pPr>
    </w:p>
    <w:p w14:paraId="62C5E649" w14:textId="2C6B2861" w:rsidR="00501E3D" w:rsidRPr="00A03935" w:rsidRDefault="00A03935" w:rsidP="00501E3D">
      <w:pPr>
        <w:jc w:val="center"/>
        <w:rPr>
          <w:rFonts w:ascii="Calibri" w:hAnsi="Calibri" w:cs="Calibri"/>
          <w:b/>
          <w:color w:val="262626" w:themeColor="text1" w:themeTint="D9"/>
          <w:sz w:val="40"/>
          <w:szCs w:val="40"/>
        </w:rPr>
      </w:pPr>
      <w:r w:rsidRPr="00A03935">
        <w:rPr>
          <w:rFonts w:ascii="Calibri" w:hAnsi="Calibri" w:cs="Calibri"/>
          <w:b/>
          <w:color w:val="262626" w:themeColor="text1" w:themeTint="D9"/>
          <w:sz w:val="40"/>
          <w:szCs w:val="40"/>
        </w:rPr>
        <w:t>Landscape Maintenance Stanley Blvd.</w:t>
      </w:r>
    </w:p>
    <w:p w14:paraId="5D2072BB" w14:textId="77777777" w:rsidR="00501E3D" w:rsidRPr="00985AE1" w:rsidRDefault="00501E3D" w:rsidP="00501E3D">
      <w:pPr>
        <w:jc w:val="center"/>
        <w:rPr>
          <w:rFonts w:ascii="Calibri" w:hAnsi="Calibri" w:cs="Calibri"/>
          <w:b/>
          <w:sz w:val="20"/>
        </w:rPr>
      </w:pPr>
    </w:p>
    <w:p w14:paraId="40DE6592" w14:textId="77777777" w:rsidR="00501E3D" w:rsidRPr="00985AE1" w:rsidRDefault="00501E3D" w:rsidP="00501E3D">
      <w:pPr>
        <w:jc w:val="center"/>
        <w:rPr>
          <w:rFonts w:ascii="Calibri" w:hAnsi="Calibri" w:cs="Calibri"/>
          <w:b/>
          <w:sz w:val="28"/>
          <w:szCs w:val="28"/>
        </w:rPr>
      </w:pPr>
      <w:r w:rsidRPr="00985AE1">
        <w:rPr>
          <w:rFonts w:ascii="Calibri" w:hAnsi="Calibri" w:cs="Calibri"/>
          <w:b/>
          <w:sz w:val="28"/>
          <w:szCs w:val="28"/>
        </w:rPr>
        <w:t>Specification Clarification/Modification</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D55970">
        <w:tc>
          <w:tcPr>
            <w:tcW w:w="10795" w:type="dxa"/>
            <w:shd w:val="clear" w:color="auto" w:fill="auto"/>
            <w:tcMar>
              <w:top w:w="43" w:type="dxa"/>
              <w:left w:w="115" w:type="dxa"/>
              <w:bottom w:w="43" w:type="dxa"/>
              <w:right w:w="115" w:type="dxa"/>
            </w:tcMar>
          </w:tcPr>
          <w:p w14:paraId="19991CC6" w14:textId="5D3A0008" w:rsidR="00501E3D" w:rsidRPr="00501E3D" w:rsidRDefault="00501E3D" w:rsidP="00A03935">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A03935">
              <w:rPr>
                <w:rFonts w:ascii="Calibri" w:hAnsi="Calibri" w:cs="Calibri"/>
                <w:b/>
                <w:color w:val="262626" w:themeColor="text1" w:themeTint="D9"/>
                <w:spacing w:val="-6"/>
                <w:sz w:val="28"/>
                <w:szCs w:val="28"/>
              </w:rPr>
              <w:t xml:space="preserve">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w:t>
            </w:r>
            <w:r w:rsidRPr="00501E3D">
              <w:rPr>
                <w:rFonts w:ascii="Calibri" w:hAnsi="Calibri" w:cs="Calibri"/>
                <w:b/>
                <w:spacing w:val="-6"/>
                <w:sz w:val="28"/>
                <w:szCs w:val="28"/>
              </w:rPr>
              <w:t xml:space="preserve">Addendum will also be posted on the GSA Contracting Opportunities website located at </w:t>
            </w:r>
            <w:hyperlink r:id="rId11" w:history="1">
              <w:r w:rsidRPr="00501E3D">
                <w:rPr>
                  <w:rStyle w:val="Hyperlink"/>
                  <w:rFonts w:ascii="Calibri" w:hAnsi="Calibri" w:cs="Calibri"/>
                  <w:b/>
                  <w:spacing w:val="-6"/>
                  <w:sz w:val="28"/>
                  <w:szCs w:val="28"/>
                </w:rPr>
                <w:t>http://www.acgov.org/gsa/purchasing/bid_content/ContractOpportunities.jsp</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7FBEE21D" w14:textId="0F026CA6" w:rsidR="00401870" w:rsidRDefault="00401870" w:rsidP="00A03935">
      <w:pPr>
        <w:rPr>
          <w:rFonts w:ascii="Calibri" w:hAnsi="Calibri" w:cs="Calibri"/>
          <w:b/>
          <w:color w:val="FFFFFF" w:themeColor="background1"/>
          <w:sz w:val="30"/>
          <w:szCs w:val="30"/>
          <w:highlight w:val="red"/>
        </w:rPr>
      </w:pPr>
    </w:p>
    <w:p w14:paraId="6B0ECB95" w14:textId="31A50492" w:rsidR="00A03935" w:rsidRDefault="00A03935" w:rsidP="00A03935">
      <w:pPr>
        <w:rPr>
          <w:rFonts w:ascii="Calibri" w:hAnsi="Calibri" w:cs="Calibri"/>
          <w:b/>
          <w:color w:val="FFFFFF" w:themeColor="background1"/>
          <w:sz w:val="30"/>
          <w:szCs w:val="30"/>
          <w:highlight w:val="red"/>
        </w:rPr>
      </w:pPr>
    </w:p>
    <w:p w14:paraId="22AD2F2E" w14:textId="68F7BEE4" w:rsidR="00A03935" w:rsidRDefault="00A03935" w:rsidP="00A03935">
      <w:pPr>
        <w:rPr>
          <w:rFonts w:ascii="Calibri" w:hAnsi="Calibri" w:cs="Calibri"/>
          <w:b/>
          <w:color w:val="FFFFFF" w:themeColor="background1"/>
          <w:sz w:val="30"/>
          <w:szCs w:val="30"/>
          <w:highlight w:val="red"/>
        </w:rPr>
      </w:pPr>
    </w:p>
    <w:p w14:paraId="0363201A" w14:textId="0CD32ECF" w:rsidR="00A03935" w:rsidRDefault="00A03935" w:rsidP="00A03935">
      <w:pPr>
        <w:rPr>
          <w:rFonts w:ascii="Calibri" w:hAnsi="Calibri" w:cs="Calibri"/>
          <w:b/>
          <w:color w:val="FFFFFF" w:themeColor="background1"/>
          <w:sz w:val="30"/>
          <w:szCs w:val="30"/>
          <w:highlight w:val="red"/>
        </w:rPr>
      </w:pPr>
    </w:p>
    <w:p w14:paraId="1CB778DE" w14:textId="45A4A2EE" w:rsidR="00A03935" w:rsidRDefault="00A03935" w:rsidP="00A03935">
      <w:pPr>
        <w:rPr>
          <w:rFonts w:ascii="Calibri" w:hAnsi="Calibri" w:cs="Calibri"/>
          <w:b/>
          <w:color w:val="FFFFFF" w:themeColor="background1"/>
          <w:sz w:val="30"/>
          <w:szCs w:val="30"/>
          <w:highlight w:val="red"/>
        </w:rPr>
      </w:pPr>
    </w:p>
    <w:p w14:paraId="580B6CD6" w14:textId="495B288E" w:rsidR="00A03935" w:rsidRDefault="00A03935" w:rsidP="00A03935">
      <w:pPr>
        <w:rPr>
          <w:rFonts w:ascii="Calibri" w:hAnsi="Calibri" w:cs="Calibri"/>
          <w:b/>
          <w:color w:val="FFFFFF" w:themeColor="background1"/>
          <w:sz w:val="30"/>
          <w:szCs w:val="30"/>
          <w:highlight w:val="red"/>
        </w:rPr>
      </w:pPr>
    </w:p>
    <w:p w14:paraId="492FAF1F" w14:textId="455E0271" w:rsidR="00A03935" w:rsidRDefault="00A03935" w:rsidP="00A03935">
      <w:pPr>
        <w:rPr>
          <w:rFonts w:ascii="Calibri" w:hAnsi="Calibri" w:cs="Calibri"/>
          <w:b/>
          <w:color w:val="FFFFFF" w:themeColor="background1"/>
          <w:sz w:val="30"/>
          <w:szCs w:val="30"/>
          <w:highlight w:val="red"/>
        </w:rPr>
      </w:pPr>
    </w:p>
    <w:p w14:paraId="42907C25" w14:textId="77777777" w:rsidR="00A03935" w:rsidRPr="00A03935" w:rsidRDefault="00A03935" w:rsidP="00A03935">
      <w:pPr>
        <w:rPr>
          <w:rFonts w:ascii="Calibri" w:hAnsi="Calibri" w:cs="Calibri"/>
          <w:b/>
          <w:color w:val="FFFFFF" w:themeColor="background1"/>
          <w:sz w:val="30"/>
          <w:szCs w:val="30"/>
          <w:highlight w:val="red"/>
        </w:rPr>
      </w:pPr>
    </w:p>
    <w:p w14:paraId="526370AE" w14:textId="33B4627B" w:rsidR="003049BB" w:rsidRDefault="003049BB"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77777777"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Sections have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RFP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77799F" w:rsidRDefault="00501E3D" w:rsidP="00501E3D">
      <w:pPr>
        <w:rPr>
          <w:rFonts w:ascii="Calibri" w:hAnsi="Calibri" w:cs="Calibri"/>
          <w:color w:val="262626" w:themeColor="text1" w:themeTint="D9"/>
          <w:szCs w:val="24"/>
        </w:rPr>
      </w:pPr>
    </w:p>
    <w:p w14:paraId="4F2A2105" w14:textId="3B585EBB" w:rsidR="00501E3D" w:rsidRPr="003E2F00" w:rsidRDefault="00501E3D" w:rsidP="00501E3D">
      <w:pPr>
        <w:shd w:val="clear" w:color="auto" w:fill="D9E2F3"/>
        <w:spacing w:after="240"/>
        <w:jc w:val="both"/>
        <w:rPr>
          <w:rFonts w:ascii="Calibri" w:hAnsi="Calibri" w:cs="Calibri"/>
          <w:color w:val="262626" w:themeColor="text1" w:themeTint="D9"/>
        </w:rPr>
      </w:pPr>
      <w:r w:rsidRPr="003E2F00">
        <w:rPr>
          <w:rFonts w:ascii="Calibri" w:hAnsi="Calibri" w:cs="Calibri"/>
          <w:color w:val="262626" w:themeColor="text1" w:themeTint="D9"/>
        </w:rPr>
        <w:t xml:space="preserve">Page </w:t>
      </w:r>
      <w:r w:rsidR="00C9212D" w:rsidRPr="003E2F00">
        <w:rPr>
          <w:rFonts w:ascii="Calibri" w:hAnsi="Calibri" w:cs="Calibri"/>
          <w:color w:val="262626" w:themeColor="text1" w:themeTint="D9"/>
        </w:rPr>
        <w:t>23</w:t>
      </w:r>
      <w:r w:rsidRPr="003E2F00">
        <w:rPr>
          <w:rFonts w:ascii="Calibri" w:hAnsi="Calibri" w:cs="Calibri"/>
          <w:color w:val="262626" w:themeColor="text1" w:themeTint="D9"/>
        </w:rPr>
        <w:t xml:space="preserve"> of the </w:t>
      </w:r>
      <w:r w:rsidR="00DC18BB" w:rsidRPr="003E2F00">
        <w:rPr>
          <w:rFonts w:ascii="Calibri" w:hAnsi="Calibri" w:cs="Calibri"/>
          <w:color w:val="262626" w:themeColor="text1" w:themeTint="D9"/>
        </w:rPr>
        <w:t>RFP</w:t>
      </w:r>
      <w:r w:rsidRPr="003E2F00">
        <w:rPr>
          <w:rFonts w:ascii="Calibri" w:hAnsi="Calibri" w:cs="Calibri"/>
          <w:color w:val="262626" w:themeColor="text1" w:themeTint="D9"/>
        </w:rPr>
        <w:t xml:space="preserve">, Section </w:t>
      </w:r>
      <w:r w:rsidR="00C9212D" w:rsidRPr="003E2F00">
        <w:rPr>
          <w:rFonts w:ascii="Calibri" w:hAnsi="Calibri" w:cs="Calibri"/>
          <w:color w:val="262626" w:themeColor="text1" w:themeTint="D9"/>
        </w:rPr>
        <w:t>M</w:t>
      </w:r>
      <w:r w:rsidRPr="003E2F00">
        <w:rPr>
          <w:rFonts w:ascii="Calibri" w:hAnsi="Calibri" w:cs="Calibri"/>
          <w:color w:val="262626" w:themeColor="text1" w:themeTint="D9"/>
        </w:rPr>
        <w:t xml:space="preserve"> (</w:t>
      </w:r>
      <w:r w:rsidR="00C9212D" w:rsidRPr="003E2F00">
        <w:rPr>
          <w:rFonts w:ascii="Calibri" w:hAnsi="Calibri" w:cs="Calibri"/>
          <w:color w:val="262626" w:themeColor="text1" w:themeTint="D9"/>
        </w:rPr>
        <w:t>PRICING</w:t>
      </w:r>
      <w:r w:rsidRPr="003E2F00">
        <w:rPr>
          <w:rFonts w:ascii="Calibri" w:hAnsi="Calibri" w:cs="Calibri"/>
          <w:color w:val="262626" w:themeColor="text1" w:themeTint="D9"/>
        </w:rPr>
        <w:t xml:space="preserve">), Item </w:t>
      </w:r>
      <w:proofErr w:type="gramStart"/>
      <w:r w:rsidR="00C9212D" w:rsidRPr="003E2F00">
        <w:rPr>
          <w:rFonts w:ascii="Calibri" w:hAnsi="Calibri" w:cs="Calibri"/>
          <w:color w:val="262626" w:themeColor="text1" w:themeTint="D9"/>
        </w:rPr>
        <w:t>10.</w:t>
      </w:r>
      <w:r w:rsidRPr="003E2F00">
        <w:rPr>
          <w:rFonts w:ascii="Calibri" w:hAnsi="Calibri" w:cs="Calibri"/>
          <w:color w:val="262626" w:themeColor="text1" w:themeTint="D9"/>
        </w:rPr>
        <w:t>(</w:t>
      </w:r>
      <w:proofErr w:type="gramEnd"/>
      <w:r w:rsidR="00C9212D" w:rsidRPr="003E2F00">
        <w:rPr>
          <w:rFonts w:ascii="Calibri" w:hAnsi="Calibri" w:cs="Calibri"/>
          <w:color w:val="262626" w:themeColor="text1" w:themeTint="D9"/>
        </w:rPr>
        <w:t>a</w:t>
      </w:r>
      <w:r w:rsidRPr="003E2F00">
        <w:rPr>
          <w:rFonts w:ascii="Calibri" w:hAnsi="Calibri" w:cs="Calibri"/>
          <w:color w:val="262626" w:themeColor="text1" w:themeTint="D9"/>
        </w:rPr>
        <w:t xml:space="preserve">), is revised as follows:  </w:t>
      </w:r>
    </w:p>
    <w:p w14:paraId="0B68BD93" w14:textId="77777777" w:rsidR="00C9212D" w:rsidRPr="0085416F" w:rsidRDefault="00C9212D" w:rsidP="00C9212D">
      <w:pPr>
        <w:pStyle w:val="Item1"/>
        <w:numPr>
          <w:ilvl w:val="2"/>
          <w:numId w:val="3"/>
        </w:numPr>
      </w:pPr>
      <w:r w:rsidRPr="0085416F">
        <w:t xml:space="preserve">Labor Compliance:  </w:t>
      </w:r>
    </w:p>
    <w:p w14:paraId="4C3D73EA" w14:textId="37F7F4CB" w:rsidR="00C9212D" w:rsidRDefault="00C9212D" w:rsidP="00C9212D">
      <w:pPr>
        <w:pStyle w:val="Itema"/>
        <w:numPr>
          <w:ilvl w:val="3"/>
          <w:numId w:val="3"/>
        </w:numPr>
      </w:pPr>
      <w:r w:rsidRPr="0085416F">
        <w:t xml:space="preserve">This </w:t>
      </w:r>
      <w:r w:rsidRPr="00C9212D">
        <w:rPr>
          <w:strike/>
        </w:rPr>
        <w:t>is public works</w:t>
      </w:r>
      <w:r w:rsidRPr="0085416F">
        <w:t xml:space="preserve"> project </w:t>
      </w:r>
      <w:r w:rsidRPr="00C9212D">
        <w:rPr>
          <w:strike/>
        </w:rPr>
        <w:t>and</w:t>
      </w:r>
      <w:r w:rsidRPr="0085416F">
        <w:t xml:space="preserve"> is subject to monitoring by the Department of Industrial Relations (DIR).  All contractors performing work on Public Works projects </w:t>
      </w:r>
      <w:r w:rsidRPr="00FA2627">
        <w:t>are</w:t>
      </w:r>
      <w:r w:rsidRPr="0085416F">
        <w:t xml:space="preserve"> required to be registered with the DIR.  Valid DIR registration numbers for your firm and any lower tier subcontractors you may hire to accomplish your portion of work must be supplied with your proposal.  The contractor and all subcontractors under the contractor shall pay all workers on all work performed pursuant to this contract not less than the general prevailing rate of per diem wages and the general prevailing rate for holiday and overtime work as determined by the Director of the Department of Industrial Relations (DIR), State of California, for the type of work performed and the locality in which the work is to be performed within the boundaries of the County, pursuant to sections 1770 et seq. of the California Labor Code.  Prevailing wage rates are also available from the County or at </w:t>
      </w:r>
      <w:hyperlink r:id="rId17" w:history="1">
        <w:r w:rsidRPr="0085416F">
          <w:rPr>
            <w:color w:val="0000FF"/>
            <w:u w:val="single"/>
          </w:rPr>
          <w:t>www.dir.ca.gov</w:t>
        </w:r>
      </w:hyperlink>
      <w:r w:rsidRPr="0085416F">
        <w:t>.</w:t>
      </w:r>
      <w:r>
        <w:t xml:space="preserve">  </w:t>
      </w:r>
      <w:r w:rsidRPr="0066143A">
        <w:t>Contracts valued at $30,000 or more carry an obligation to hire apprentices, unless the craft or trade does not require the use of apprentices, as indicated in the corresponding prevailing wage determination.  This duty applies to all contractors and subcontractors on a project, even if their part of the project is less than $30,000.</w:t>
      </w:r>
    </w:p>
    <w:p w14:paraId="3E76E5B0" w14:textId="1C798503" w:rsidR="00E3619D" w:rsidRPr="003E2F00" w:rsidRDefault="00E3619D" w:rsidP="00E3619D">
      <w:pPr>
        <w:pStyle w:val="Itema"/>
        <w:shd w:val="clear" w:color="auto" w:fill="BDD6EE" w:themeFill="accent1" w:themeFillTint="66"/>
        <w:tabs>
          <w:tab w:val="clear" w:pos="2160"/>
        </w:tabs>
        <w:ind w:left="0" w:firstLine="0"/>
        <w:rPr>
          <w:color w:val="262626" w:themeColor="text1" w:themeTint="D9"/>
        </w:rPr>
      </w:pPr>
      <w:r w:rsidRPr="003E2F00">
        <w:rPr>
          <w:color w:val="262626" w:themeColor="text1" w:themeTint="D9"/>
        </w:rPr>
        <w:t xml:space="preserve">Page 3 of Exhibit B, Bio-swale Maintenance, is revised </w:t>
      </w:r>
      <w:r w:rsidR="00F51B22" w:rsidRPr="003E2F00">
        <w:rPr>
          <w:color w:val="262626" w:themeColor="text1" w:themeTint="D9"/>
        </w:rPr>
        <w:t>to add Item. E</w:t>
      </w:r>
      <w:r w:rsidRPr="003E2F00">
        <w:rPr>
          <w:color w:val="262626" w:themeColor="text1" w:themeTint="D9"/>
        </w:rPr>
        <w:t xml:space="preserve">: </w:t>
      </w:r>
    </w:p>
    <w:p w14:paraId="7AA46020" w14:textId="3229423A" w:rsidR="00E3619D" w:rsidRPr="003E2F00" w:rsidRDefault="00E3619D" w:rsidP="00E3619D">
      <w:pPr>
        <w:pStyle w:val="ListParagraph"/>
        <w:numPr>
          <w:ilvl w:val="0"/>
          <w:numId w:val="19"/>
        </w:numPr>
        <w:spacing w:after="160" w:line="360" w:lineRule="auto"/>
        <w:rPr>
          <w:rFonts w:asciiTheme="majorHAnsi" w:eastAsia="Calibri" w:hAnsiTheme="majorHAnsi" w:cstheme="majorHAnsi"/>
          <w:b/>
          <w:sz w:val="24"/>
          <w:szCs w:val="24"/>
          <w:highlight w:val="yellow"/>
        </w:rPr>
      </w:pPr>
      <w:r w:rsidRPr="003E2F00">
        <w:rPr>
          <w:rFonts w:ascii="Calibri" w:hAnsi="Calibri" w:cs="Calibri"/>
          <w:b/>
          <w:highlight w:val="yellow"/>
        </w:rPr>
        <w:t>Remove river rocks, clear and dispose of sediment and debris that accumulated underneath, and return rocks to original installation.</w:t>
      </w:r>
    </w:p>
    <w:p w14:paraId="1E932F82" w14:textId="0D301E7F" w:rsidR="00E3619D" w:rsidRPr="003E2F00" w:rsidRDefault="00E3619D" w:rsidP="00E3619D">
      <w:pPr>
        <w:pStyle w:val="Itema"/>
        <w:shd w:val="clear" w:color="auto" w:fill="BDD6EE" w:themeFill="accent1" w:themeFillTint="66"/>
        <w:tabs>
          <w:tab w:val="clear" w:pos="2160"/>
        </w:tabs>
        <w:ind w:left="0" w:firstLine="0"/>
        <w:rPr>
          <w:color w:val="262626" w:themeColor="text1" w:themeTint="D9"/>
        </w:rPr>
      </w:pPr>
      <w:r w:rsidRPr="003E2F00">
        <w:rPr>
          <w:color w:val="262626" w:themeColor="text1" w:themeTint="D9"/>
        </w:rPr>
        <w:t xml:space="preserve">Page 6 of Exhibit B, Item 8: Bio-swale Maintenance, is revised </w:t>
      </w:r>
      <w:r w:rsidR="00B11148">
        <w:rPr>
          <w:color w:val="262626" w:themeColor="text1" w:themeTint="D9"/>
        </w:rPr>
        <w:t>to add Item. E</w:t>
      </w:r>
      <w:r w:rsidRPr="003E2F00">
        <w:rPr>
          <w:color w:val="262626" w:themeColor="text1" w:themeTint="D9"/>
        </w:rPr>
        <w:t xml:space="preserve">s: </w:t>
      </w:r>
    </w:p>
    <w:tbl>
      <w:tblPr>
        <w:tblStyle w:val="TableGrid"/>
        <w:tblW w:w="9625" w:type="dxa"/>
        <w:tblLook w:val="04A0" w:firstRow="1" w:lastRow="0" w:firstColumn="1" w:lastColumn="0" w:noHBand="0" w:noVBand="1"/>
      </w:tblPr>
      <w:tblGrid>
        <w:gridCol w:w="445"/>
        <w:gridCol w:w="5850"/>
        <w:gridCol w:w="3330"/>
      </w:tblGrid>
      <w:tr w:rsidR="00E3619D" w:rsidRPr="00B11148" w14:paraId="290689A3" w14:textId="77777777" w:rsidTr="00572E72">
        <w:tc>
          <w:tcPr>
            <w:tcW w:w="445" w:type="dxa"/>
          </w:tcPr>
          <w:p w14:paraId="511EAE3D" w14:textId="77777777" w:rsidR="00E3619D" w:rsidRPr="003E2F00" w:rsidRDefault="00E3619D" w:rsidP="002D60B1">
            <w:pPr>
              <w:rPr>
                <w:rFonts w:ascii="Calibri" w:hAnsi="Calibri" w:cs="Calibri"/>
                <w:b/>
                <w:bCs/>
                <w:szCs w:val="26"/>
                <w:highlight w:val="yellow"/>
              </w:rPr>
            </w:pPr>
            <w:r w:rsidRPr="003E2F00">
              <w:rPr>
                <w:rFonts w:ascii="Calibri" w:hAnsi="Calibri" w:cs="Calibri"/>
                <w:b/>
                <w:bCs/>
                <w:szCs w:val="26"/>
                <w:highlight w:val="yellow"/>
              </w:rPr>
              <w:t>E</w:t>
            </w:r>
          </w:p>
        </w:tc>
        <w:tc>
          <w:tcPr>
            <w:tcW w:w="5850" w:type="dxa"/>
          </w:tcPr>
          <w:p w14:paraId="210F29E3" w14:textId="77777777" w:rsidR="00E3619D" w:rsidRPr="003E2F00" w:rsidRDefault="00E3619D" w:rsidP="002D60B1">
            <w:pPr>
              <w:rPr>
                <w:rFonts w:ascii="Calibri" w:hAnsi="Calibri" w:cs="Calibri"/>
                <w:b/>
                <w:highlight w:val="yellow"/>
              </w:rPr>
            </w:pPr>
            <w:r w:rsidRPr="003E2F00">
              <w:rPr>
                <w:rFonts w:ascii="Calibri" w:hAnsi="Calibri" w:cs="Calibri"/>
                <w:b/>
                <w:highlight w:val="yellow"/>
              </w:rPr>
              <w:t>Remove river rocks, clear and dispose of sediment and debris that accumulated underneath, and return rocks to original installation</w:t>
            </w:r>
          </w:p>
        </w:tc>
        <w:tc>
          <w:tcPr>
            <w:tcW w:w="3330" w:type="dxa"/>
            <w:vAlign w:val="center"/>
          </w:tcPr>
          <w:p w14:paraId="5DC6A721" w14:textId="77777777" w:rsidR="00E3619D" w:rsidRPr="003E2F00" w:rsidRDefault="00E3619D" w:rsidP="00572E72">
            <w:pPr>
              <w:jc w:val="center"/>
              <w:rPr>
                <w:rFonts w:ascii="Calibri" w:hAnsi="Calibri" w:cs="Calibri"/>
                <w:b/>
                <w:highlight w:val="yellow"/>
              </w:rPr>
            </w:pPr>
            <w:r w:rsidRPr="003E2F00">
              <w:rPr>
                <w:rFonts w:ascii="Calibri" w:hAnsi="Calibri" w:cs="Calibri"/>
                <w:b/>
                <w:highlight w:val="yellow"/>
              </w:rPr>
              <w:t>ANNUALLY</w:t>
            </w:r>
          </w:p>
        </w:tc>
      </w:tr>
    </w:tbl>
    <w:p w14:paraId="16546997" w14:textId="78EF5D49" w:rsidR="00E3619D" w:rsidRDefault="00E3619D" w:rsidP="00E3619D">
      <w:pPr>
        <w:pStyle w:val="Itema"/>
        <w:tabs>
          <w:tab w:val="clear" w:pos="2160"/>
        </w:tabs>
        <w:ind w:left="0" w:firstLine="0"/>
      </w:pPr>
    </w:p>
    <w:p w14:paraId="11DAAF03" w14:textId="4A59D4D8" w:rsidR="00F45FD3" w:rsidRDefault="00F45FD3" w:rsidP="00E3619D">
      <w:pPr>
        <w:pStyle w:val="Itema"/>
        <w:tabs>
          <w:tab w:val="clear" w:pos="2160"/>
        </w:tabs>
        <w:ind w:left="0" w:firstLine="0"/>
      </w:pPr>
    </w:p>
    <w:p w14:paraId="5E04DC88" w14:textId="77777777" w:rsidR="00F45FD3" w:rsidRDefault="00F45FD3" w:rsidP="00E3619D">
      <w:pPr>
        <w:pStyle w:val="Itema"/>
        <w:tabs>
          <w:tab w:val="clear" w:pos="2160"/>
        </w:tabs>
        <w:ind w:left="0" w:firstLine="0"/>
      </w:pPr>
    </w:p>
    <w:p w14:paraId="377FD22C" w14:textId="4CCCC660" w:rsidR="00F45FD3" w:rsidRPr="003E2F00" w:rsidRDefault="00F45FD3" w:rsidP="00F45FD3">
      <w:pPr>
        <w:pStyle w:val="Itema"/>
        <w:shd w:val="clear" w:color="auto" w:fill="BDD6EE" w:themeFill="accent1" w:themeFillTint="66"/>
        <w:tabs>
          <w:tab w:val="clear" w:pos="2160"/>
          <w:tab w:val="right" w:pos="10800"/>
        </w:tabs>
        <w:ind w:left="0" w:firstLine="0"/>
        <w:rPr>
          <w:color w:val="262626" w:themeColor="text1" w:themeTint="D9"/>
        </w:rPr>
      </w:pPr>
      <w:r w:rsidRPr="003E2F00">
        <w:rPr>
          <w:color w:val="262626" w:themeColor="text1" w:themeTint="D9"/>
        </w:rPr>
        <w:t>Page 5 of RFP, Section B</w:t>
      </w:r>
      <w:r w:rsidR="00B11148">
        <w:rPr>
          <w:color w:val="262626" w:themeColor="text1" w:themeTint="D9"/>
        </w:rPr>
        <w:t>.</w:t>
      </w:r>
      <w:r w:rsidRPr="003E2F00">
        <w:rPr>
          <w:color w:val="262626" w:themeColor="text1" w:themeTint="D9"/>
        </w:rPr>
        <w:t xml:space="preserve"> </w:t>
      </w:r>
      <w:r w:rsidR="00B11148">
        <w:rPr>
          <w:color w:val="262626" w:themeColor="text1" w:themeTint="D9"/>
        </w:rPr>
        <w:t>(</w:t>
      </w:r>
      <w:r w:rsidRPr="003E2F00">
        <w:rPr>
          <w:color w:val="262626" w:themeColor="text1" w:themeTint="D9"/>
        </w:rPr>
        <w:t>SCOPE/BACKGROUND</w:t>
      </w:r>
      <w:r w:rsidR="00B11148">
        <w:rPr>
          <w:color w:val="262626" w:themeColor="text1" w:themeTint="D9"/>
        </w:rPr>
        <w:t>)</w:t>
      </w:r>
      <w:r w:rsidRPr="003E2F00">
        <w:rPr>
          <w:color w:val="262626" w:themeColor="text1" w:themeTint="D9"/>
        </w:rPr>
        <w:t xml:space="preserve">, </w:t>
      </w:r>
      <w:r w:rsidRPr="003E2F00">
        <w:rPr>
          <w:bCs/>
        </w:rPr>
        <w:t>Project Site Description</w:t>
      </w:r>
      <w:r w:rsidRPr="003E2F00">
        <w:rPr>
          <w:color w:val="262626" w:themeColor="text1" w:themeTint="D9"/>
        </w:rPr>
        <w:t xml:space="preserve"> is revised </w:t>
      </w:r>
      <w:r w:rsidR="00B11148">
        <w:rPr>
          <w:color w:val="262626" w:themeColor="text1" w:themeTint="D9"/>
        </w:rPr>
        <w:t>to add the following</w:t>
      </w:r>
      <w:r w:rsidRPr="003E2F00">
        <w:rPr>
          <w:color w:val="262626" w:themeColor="text1" w:themeTint="D9"/>
        </w:rPr>
        <w:t xml:space="preserve">: </w:t>
      </w:r>
      <w:r w:rsidRPr="003E2F00">
        <w:rPr>
          <w:color w:val="262626" w:themeColor="text1" w:themeTint="D9"/>
        </w:rPr>
        <w:tab/>
      </w:r>
    </w:p>
    <w:p w14:paraId="4A0CC482" w14:textId="13250BB9" w:rsidR="00F45FD3" w:rsidRDefault="00F45FD3" w:rsidP="00F45FD3">
      <w:pPr>
        <w:pStyle w:val="Itema"/>
        <w:shd w:val="clear" w:color="auto" w:fill="FFFFFF" w:themeFill="background1"/>
        <w:tabs>
          <w:tab w:val="clear" w:pos="2160"/>
          <w:tab w:val="right" w:pos="10800"/>
        </w:tabs>
        <w:ind w:left="0" w:firstLine="0"/>
        <w:rPr>
          <w:b/>
          <w:color w:val="262626" w:themeColor="text1" w:themeTint="D9"/>
        </w:rPr>
      </w:pPr>
    </w:p>
    <w:p w14:paraId="0F3F66D1" w14:textId="3DE2B53B" w:rsidR="00F45FD3" w:rsidRDefault="00F45FD3" w:rsidP="00F45FD3">
      <w:pPr>
        <w:pStyle w:val="Itema"/>
        <w:shd w:val="clear" w:color="auto" w:fill="FFFFFF" w:themeFill="background1"/>
        <w:tabs>
          <w:tab w:val="clear" w:pos="2160"/>
          <w:tab w:val="right" w:pos="10800"/>
        </w:tabs>
        <w:ind w:left="0" w:firstLine="0"/>
        <w:rPr>
          <w:b/>
          <w:color w:val="262626" w:themeColor="text1" w:themeTint="D9"/>
        </w:rPr>
      </w:pPr>
      <w:r w:rsidRPr="00F45FD3">
        <w:rPr>
          <w:b/>
          <w:color w:val="262626" w:themeColor="text1" w:themeTint="D9"/>
          <w:highlight w:val="yellow"/>
        </w:rPr>
        <w:t>MAP OF PROJECT AREA</w:t>
      </w:r>
    </w:p>
    <w:p w14:paraId="31B0E9E2" w14:textId="3D4F7ABD" w:rsidR="00F45FD3" w:rsidRPr="00E3619D" w:rsidRDefault="00F45FD3" w:rsidP="00F45FD3">
      <w:pPr>
        <w:pStyle w:val="Itema"/>
        <w:shd w:val="clear" w:color="auto" w:fill="FFFFFF" w:themeFill="background1"/>
        <w:tabs>
          <w:tab w:val="clear" w:pos="2160"/>
          <w:tab w:val="right" w:pos="10800"/>
        </w:tabs>
        <w:ind w:left="0" w:firstLine="0"/>
        <w:rPr>
          <w:b/>
          <w:color w:val="262626" w:themeColor="text1" w:themeTint="D9"/>
        </w:rPr>
      </w:pPr>
      <w:r>
        <w:rPr>
          <w:rFonts w:ascii="Times New Roman" w:hAnsi="Times New Roman" w:cs="Times New Roman"/>
          <w:noProof/>
          <w:sz w:val="24"/>
          <w:szCs w:val="24"/>
        </w:rPr>
        <w:drawing>
          <wp:anchor distT="0" distB="0" distL="114300" distR="114300" simplePos="0" relativeHeight="251663360" behindDoc="0" locked="0" layoutInCell="1" allowOverlap="1" wp14:anchorId="380D0E48" wp14:editId="524FBB38">
            <wp:simplePos x="0" y="0"/>
            <wp:positionH relativeFrom="column">
              <wp:posOffset>85060</wp:posOffset>
            </wp:positionH>
            <wp:positionV relativeFrom="paragraph">
              <wp:posOffset>184150</wp:posOffset>
            </wp:positionV>
            <wp:extent cx="6581554" cy="2604977"/>
            <wp:effectExtent l="0" t="0" r="0" b="508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4345" cy="2613998"/>
                    </a:xfrm>
                    <a:prstGeom prst="rect">
                      <a:avLst/>
                    </a:prstGeom>
                    <a:noFill/>
                  </pic:spPr>
                </pic:pic>
              </a:graphicData>
            </a:graphic>
            <wp14:sizeRelH relativeFrom="margin">
              <wp14:pctWidth>0</wp14:pctWidth>
            </wp14:sizeRelH>
            <wp14:sizeRelV relativeFrom="margin">
              <wp14:pctHeight>0</wp14:pctHeight>
            </wp14:sizeRelV>
          </wp:anchor>
        </w:drawing>
      </w:r>
    </w:p>
    <w:sectPr w:rsidR="00F45FD3" w:rsidRPr="00E3619D" w:rsidSect="00F45FD3">
      <w:footerReference w:type="default" r:id="rId19"/>
      <w:pgSz w:w="12240" w:h="15840" w:code="1"/>
      <w:pgMar w:top="1800" w:right="99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C51AC" w14:textId="77777777" w:rsidR="00B37BDA" w:rsidRDefault="00B37BDA" w:rsidP="004D242F">
      <w:r>
        <w:separator/>
      </w:r>
    </w:p>
  </w:endnote>
  <w:endnote w:type="continuationSeparator" w:id="0">
    <w:p w14:paraId="7E3ADA86" w14:textId="77777777" w:rsidR="00B37BDA" w:rsidRDefault="00B37BDA"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7EDD6292"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654D65">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501E3D" w:rsidRPr="00A85450" w:rsidRDefault="00501E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501E3D" w:rsidRPr="002041C1" w:rsidRDefault="00501E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C7A6" w14:textId="4842D098" w:rsidR="00654D65" w:rsidRPr="00F45FD3" w:rsidRDefault="00654D65" w:rsidP="00572E72">
    <w:pPr>
      <w:jc w:val="right"/>
      <w:rPr>
        <w:rFonts w:ascii="Calibri" w:hAnsi="Calibri" w:cs="Calibri"/>
        <w:sz w:val="20"/>
      </w:rPr>
    </w:pPr>
    <w:r w:rsidRPr="00F45FD3">
      <w:rPr>
        <w:rFonts w:ascii="Calibri" w:hAnsi="Calibri" w:cs="Calibri"/>
        <w:sz w:val="20"/>
      </w:rPr>
      <w:t>RFP No. 90</w:t>
    </w:r>
    <w:r w:rsidR="00F45FD3" w:rsidRPr="00F45FD3">
      <w:rPr>
        <w:rFonts w:ascii="Calibri" w:hAnsi="Calibri" w:cs="Calibri"/>
        <w:sz w:val="20"/>
      </w:rPr>
      <w:t>1986</w:t>
    </w:r>
    <w:r w:rsidRPr="00F45FD3">
      <w:rPr>
        <w:rFonts w:ascii="Calibri" w:hAnsi="Calibri" w:cs="Calibri"/>
        <w:sz w:val="20"/>
      </w:rPr>
      <w:t xml:space="preserve">, </w:t>
    </w:r>
    <w:r w:rsidR="00572E72">
      <w:rPr>
        <w:rFonts w:ascii="Calibri" w:hAnsi="Calibri" w:cs="Calibri"/>
        <w:sz w:val="20"/>
      </w:rPr>
      <w:t>Addendum No.1</w:t>
    </w:r>
  </w:p>
  <w:p w14:paraId="2D15F09D" w14:textId="45A84E8C"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1B0A9F">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1B0A9F">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4227" w14:textId="77777777" w:rsidR="00B37BDA" w:rsidRDefault="00B37BDA" w:rsidP="004D242F">
      <w:r>
        <w:separator/>
      </w:r>
    </w:p>
  </w:footnote>
  <w:footnote w:type="continuationSeparator" w:id="0">
    <w:p w14:paraId="0E31D13C" w14:textId="77777777" w:rsidR="00B37BDA" w:rsidRDefault="00B37BDA" w:rsidP="004D24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61B0BB44" w:rsidR="00501E3D" w:rsidRPr="00892030" w:rsidRDefault="00501E3D" w:rsidP="00572E72">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w:t>
    </w:r>
    <w:r w:rsidR="00572E72">
      <w:rPr>
        <w:rFonts w:ascii="Calibri" w:hAnsi="Calibri" w:cs="Calibri"/>
        <w:b/>
        <w:snapToGrid w:val="0"/>
        <w:sz w:val="24"/>
      </w:rPr>
      <w:t>901986</w:t>
    </w:r>
    <w:r w:rsidRPr="00892030">
      <w:rPr>
        <w:rFonts w:ascii="Calibri" w:hAnsi="Calibri" w:cs="Calibri"/>
        <w:b/>
        <w:snapToGrid w:val="0"/>
        <w:sz w:val="24"/>
      </w:rPr>
      <w:t xml:space="preserve">, Addendum No. </w:t>
    </w:r>
    <w:r w:rsidR="00572E72">
      <w:rPr>
        <w:rFonts w:ascii="Calibri" w:hAnsi="Calibri" w:cs="Calibri"/>
        <w:b/>
        <w:snapToGrid w:val="0"/>
        <w:sz w:val="24"/>
      </w:rPr>
      <w:t>1</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501E3D" w:rsidRPr="00344563" w:rsidRDefault="00501E3D"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07DF0A"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501E3D" w:rsidRDefault="00501E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B19E891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0"/>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56465B"/>
    <w:multiLevelType w:val="hybridMultilevel"/>
    <w:tmpl w:val="1004E39A"/>
    <w:lvl w:ilvl="0" w:tplc="BB4499C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4"/>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3"/>
  </w:num>
  <w:num w:numId="13">
    <w:abstractNumId w:val="6"/>
  </w:num>
  <w:num w:numId="14">
    <w:abstractNumId w:val="12"/>
  </w:num>
  <w:num w:numId="15">
    <w:abstractNumId w:val="4"/>
  </w:num>
  <w:num w:numId="16">
    <w:abstractNumId w:val="2"/>
  </w:num>
  <w:num w:numId="17">
    <w:abstractNumId w:val="13"/>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01F4"/>
    <w:rsid w:val="000335C3"/>
    <w:rsid w:val="00034926"/>
    <w:rsid w:val="00053A94"/>
    <w:rsid w:val="000772DB"/>
    <w:rsid w:val="000C5D05"/>
    <w:rsid w:val="000D3AB6"/>
    <w:rsid w:val="0011249F"/>
    <w:rsid w:val="00116EB3"/>
    <w:rsid w:val="00120713"/>
    <w:rsid w:val="00143A34"/>
    <w:rsid w:val="001970AC"/>
    <w:rsid w:val="001B0A9F"/>
    <w:rsid w:val="001B2070"/>
    <w:rsid w:val="001B26FC"/>
    <w:rsid w:val="001D097B"/>
    <w:rsid w:val="001D0B84"/>
    <w:rsid w:val="002141E7"/>
    <w:rsid w:val="002278F5"/>
    <w:rsid w:val="00263FB8"/>
    <w:rsid w:val="00270EEB"/>
    <w:rsid w:val="0029595A"/>
    <w:rsid w:val="002B5EEE"/>
    <w:rsid w:val="002F64C0"/>
    <w:rsid w:val="003049BB"/>
    <w:rsid w:val="0030592A"/>
    <w:rsid w:val="00367B03"/>
    <w:rsid w:val="003B6E51"/>
    <w:rsid w:val="003E2F00"/>
    <w:rsid w:val="00401870"/>
    <w:rsid w:val="00451D38"/>
    <w:rsid w:val="0049031E"/>
    <w:rsid w:val="004A07A0"/>
    <w:rsid w:val="004B05CB"/>
    <w:rsid w:val="004D2289"/>
    <w:rsid w:val="004D242F"/>
    <w:rsid w:val="004E2265"/>
    <w:rsid w:val="004F4249"/>
    <w:rsid w:val="00501E3D"/>
    <w:rsid w:val="00525A56"/>
    <w:rsid w:val="00547225"/>
    <w:rsid w:val="00551D01"/>
    <w:rsid w:val="00572E72"/>
    <w:rsid w:val="00592825"/>
    <w:rsid w:val="005D45AC"/>
    <w:rsid w:val="005F00B4"/>
    <w:rsid w:val="00602480"/>
    <w:rsid w:val="00654D65"/>
    <w:rsid w:val="0066143A"/>
    <w:rsid w:val="00675129"/>
    <w:rsid w:val="00685CF3"/>
    <w:rsid w:val="006B04F3"/>
    <w:rsid w:val="006B4EA9"/>
    <w:rsid w:val="006C6A3E"/>
    <w:rsid w:val="006D0843"/>
    <w:rsid w:val="006D3051"/>
    <w:rsid w:val="007312C5"/>
    <w:rsid w:val="00751B70"/>
    <w:rsid w:val="00757EB8"/>
    <w:rsid w:val="007750F5"/>
    <w:rsid w:val="0077799F"/>
    <w:rsid w:val="00790DA4"/>
    <w:rsid w:val="007B1FA4"/>
    <w:rsid w:val="007B6F37"/>
    <w:rsid w:val="007C1CA0"/>
    <w:rsid w:val="007E4C92"/>
    <w:rsid w:val="00830739"/>
    <w:rsid w:val="008436F8"/>
    <w:rsid w:val="00844CA2"/>
    <w:rsid w:val="00850665"/>
    <w:rsid w:val="008620F5"/>
    <w:rsid w:val="008927D3"/>
    <w:rsid w:val="008B4BED"/>
    <w:rsid w:val="009043BC"/>
    <w:rsid w:val="00971B7F"/>
    <w:rsid w:val="009776F5"/>
    <w:rsid w:val="009B086D"/>
    <w:rsid w:val="009F53A1"/>
    <w:rsid w:val="00A03935"/>
    <w:rsid w:val="00A32003"/>
    <w:rsid w:val="00A364D5"/>
    <w:rsid w:val="00A40EF2"/>
    <w:rsid w:val="00A6661B"/>
    <w:rsid w:val="00A72A23"/>
    <w:rsid w:val="00A8033F"/>
    <w:rsid w:val="00AB7E4A"/>
    <w:rsid w:val="00AF367E"/>
    <w:rsid w:val="00B11148"/>
    <w:rsid w:val="00B12370"/>
    <w:rsid w:val="00B17AB5"/>
    <w:rsid w:val="00B36172"/>
    <w:rsid w:val="00B37BDA"/>
    <w:rsid w:val="00B4270C"/>
    <w:rsid w:val="00B50582"/>
    <w:rsid w:val="00B60008"/>
    <w:rsid w:val="00B64AEF"/>
    <w:rsid w:val="00B81A04"/>
    <w:rsid w:val="00BA2442"/>
    <w:rsid w:val="00BA5379"/>
    <w:rsid w:val="00BA5FF4"/>
    <w:rsid w:val="00BB642F"/>
    <w:rsid w:val="00C33657"/>
    <w:rsid w:val="00C41757"/>
    <w:rsid w:val="00C61A4C"/>
    <w:rsid w:val="00C6546A"/>
    <w:rsid w:val="00C746A0"/>
    <w:rsid w:val="00C77356"/>
    <w:rsid w:val="00C82E4E"/>
    <w:rsid w:val="00C91F81"/>
    <w:rsid w:val="00C9212D"/>
    <w:rsid w:val="00CB1BC2"/>
    <w:rsid w:val="00CB44D4"/>
    <w:rsid w:val="00CB676B"/>
    <w:rsid w:val="00CD0D6F"/>
    <w:rsid w:val="00CE0E97"/>
    <w:rsid w:val="00CF4169"/>
    <w:rsid w:val="00CF6D6F"/>
    <w:rsid w:val="00D237F8"/>
    <w:rsid w:val="00D36322"/>
    <w:rsid w:val="00D55970"/>
    <w:rsid w:val="00D6034E"/>
    <w:rsid w:val="00D643CF"/>
    <w:rsid w:val="00D926E2"/>
    <w:rsid w:val="00D9426B"/>
    <w:rsid w:val="00D96942"/>
    <w:rsid w:val="00DA5FF0"/>
    <w:rsid w:val="00DB6C6E"/>
    <w:rsid w:val="00DC18BB"/>
    <w:rsid w:val="00DE378C"/>
    <w:rsid w:val="00E02077"/>
    <w:rsid w:val="00E11540"/>
    <w:rsid w:val="00E2199E"/>
    <w:rsid w:val="00E3619D"/>
    <w:rsid w:val="00E40389"/>
    <w:rsid w:val="00E4484D"/>
    <w:rsid w:val="00E51632"/>
    <w:rsid w:val="00E70889"/>
    <w:rsid w:val="00E83D6C"/>
    <w:rsid w:val="00ED0EC8"/>
    <w:rsid w:val="00ED1EBE"/>
    <w:rsid w:val="00F0324F"/>
    <w:rsid w:val="00F16A58"/>
    <w:rsid w:val="00F43BD8"/>
    <w:rsid w:val="00F45FD3"/>
    <w:rsid w:val="00F51B22"/>
    <w:rsid w:val="00F56CA1"/>
    <w:rsid w:val="00F85925"/>
    <w:rsid w:val="00FA2627"/>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table" w:styleId="TableGrid">
    <w:name w:val="Table Grid"/>
    <w:basedOn w:val="TableNormal"/>
    <w:uiPriority w:val="39"/>
    <w:rsid w:val="00E3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dir.ca.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8" ma:contentTypeDescription="Create a new document." ma:contentTypeScope="" ma:versionID="e1c4881a3743cf132fe1385eaaa58ff1">
  <xsd:schema xmlns:xsd="http://www.w3.org/2001/XMLSchema" xmlns:xs="http://www.w3.org/2001/XMLSchema" xmlns:p="http://schemas.microsoft.com/office/2006/metadata/properties" targetNamespace="http://schemas.microsoft.com/office/2006/metadata/properties" ma:root="true" ma:fieldsID="6ea59c0e79d5a7160eb5a248091217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409A-9BB4-41D4-BFDC-161A1895755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3.xml><?xml version="1.0" encoding="utf-8"?>
<ds:datastoreItem xmlns:ds="http://schemas.openxmlformats.org/officeDocument/2006/customXml" ds:itemID="{0316FE25-413D-430D-92F1-665E91B2C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3FF9B0-687F-4673-930D-39BCDA09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RFP No. 901986 - Landscape Maintenance Stanley Blvd Add No. 1</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901986 - Landscape Maintenance Stanley Blvd Add No. 1</dc:title>
  <dc:subject/>
  <dc:creator>Truong, Thuy   GSA - Purchasing Department</dc:creator>
  <cp:keywords/>
  <dc:description/>
  <cp:lastModifiedBy>Hopkins, Lucretia  GSA - Office of Acquisition Policy</cp:lastModifiedBy>
  <cp:revision>2</cp:revision>
  <dcterms:created xsi:type="dcterms:W3CDTF">2021-03-04T18:04:00Z</dcterms:created>
  <dcterms:modified xsi:type="dcterms:W3CDTF">2021-03-04T18:04:00Z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