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6BEFF039" w:rsidR="006D7D2F" w:rsidRDefault="00A26239">
      <w:pPr>
        <w:jc w:val="center"/>
        <w:rPr>
          <w:rFonts w:ascii="Calibri" w:eastAsia="Calibri" w:hAnsi="Calibri" w:cs="Calibri"/>
          <w:b/>
          <w:sz w:val="40"/>
          <w:szCs w:val="40"/>
        </w:rPr>
      </w:pPr>
      <w:r>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ADDENDUM No</w:t>
      </w:r>
      <w:r w:rsidRPr="00A94FEF">
        <w:rPr>
          <w:rFonts w:ascii="Calibri" w:eastAsia="Calibri" w:hAnsi="Calibri" w:cs="Calibri"/>
          <w:b/>
          <w:sz w:val="40"/>
          <w:szCs w:val="40"/>
        </w:rPr>
        <w:t>. 1</w:t>
      </w:r>
    </w:p>
    <w:p w14:paraId="4056D0C3" w14:textId="61C71556" w:rsidR="006D7D2F" w:rsidRDefault="00E95F61">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r>
      <w:r w:rsidRPr="00A94FEF">
        <w:rPr>
          <w:rFonts w:ascii="Calibri" w:eastAsia="Calibri" w:hAnsi="Calibri" w:cs="Calibri"/>
          <w:b/>
          <w:sz w:val="40"/>
          <w:szCs w:val="40"/>
        </w:rPr>
        <w:t>RFP No. HCSA-900</w:t>
      </w:r>
      <w:r w:rsidR="00A94FEF" w:rsidRPr="00A94FEF">
        <w:rPr>
          <w:rFonts w:ascii="Calibri" w:eastAsia="Calibri" w:hAnsi="Calibri" w:cs="Calibri"/>
          <w:b/>
          <w:sz w:val="40"/>
          <w:szCs w:val="40"/>
        </w:rPr>
        <w:t>222</w:t>
      </w:r>
    </w:p>
    <w:p w14:paraId="5D93B243" w14:textId="77777777" w:rsidR="006D7D2F" w:rsidRPr="00A94FEF" w:rsidRDefault="00E95F61">
      <w:pPr>
        <w:keepNext/>
        <w:jc w:val="center"/>
        <w:rPr>
          <w:rFonts w:ascii="Calibri" w:eastAsia="Calibri" w:hAnsi="Calibri" w:cs="Calibri"/>
          <w:b/>
          <w:sz w:val="40"/>
          <w:szCs w:val="40"/>
        </w:rPr>
      </w:pPr>
      <w:r w:rsidRPr="00A94FEF">
        <w:rPr>
          <w:rFonts w:ascii="Calibri" w:eastAsia="Calibri" w:hAnsi="Calibri" w:cs="Calibri"/>
          <w:b/>
          <w:sz w:val="40"/>
          <w:szCs w:val="40"/>
        </w:rPr>
        <w:t>for</w:t>
      </w:r>
    </w:p>
    <w:p w14:paraId="2CE1C6C0" w14:textId="5C861FCA" w:rsidR="006D7D2F" w:rsidRDefault="00A94FEF" w:rsidP="00A94FEF">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 xml:space="preserve">COVID-19 Community Testing Services </w:t>
      </w:r>
    </w:p>
    <w:p w14:paraId="6C92832C" w14:textId="77777777" w:rsidR="006D7D2F" w:rsidRDefault="006D7D2F">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05A1236F" w14:textId="77777777" w:rsidR="00E95F61" w:rsidRDefault="00E95F61">
      <w:pPr>
        <w:jc w:val="center"/>
        <w:rPr>
          <w:rFonts w:ascii="Calibri" w:eastAsia="Calibri" w:hAnsi="Calibri" w:cs="Calibri"/>
          <w:b/>
          <w:sz w:val="26"/>
          <w:szCs w:val="26"/>
        </w:rPr>
      </w:pPr>
    </w:p>
    <w:p w14:paraId="11D907EF" w14:textId="77777777" w:rsidR="006D7D2F" w:rsidRDefault="00E95F61">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 xml:space="preserve">Changes made to the original RFP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4E120E8D" w14:textId="40A9001E" w:rsidR="006D7D2F" w:rsidRDefault="006D7D2F">
      <w:pPr>
        <w:rPr>
          <w:rFonts w:ascii="Calibri" w:eastAsia="Calibri" w:hAnsi="Calibri" w:cs="Calibri"/>
          <w:b/>
          <w:sz w:val="26"/>
          <w:szCs w:val="26"/>
        </w:rPr>
      </w:pPr>
    </w:p>
    <w:p w14:paraId="2E765451" w14:textId="0C918BF0" w:rsidR="00EA1E15" w:rsidRDefault="00EA1E15">
      <w:pPr>
        <w:rPr>
          <w:rFonts w:ascii="Calibri" w:eastAsia="Calibri" w:hAnsi="Calibri" w:cs="Calibri"/>
          <w:sz w:val="26"/>
          <w:szCs w:val="26"/>
        </w:rPr>
      </w:pPr>
      <w:r>
        <w:rPr>
          <w:rFonts w:ascii="Calibri" w:eastAsia="Calibri" w:hAnsi="Calibri" w:cs="Calibri"/>
          <w:sz w:val="26"/>
          <w:szCs w:val="26"/>
        </w:rPr>
        <w:t xml:space="preserve">Section </w:t>
      </w:r>
      <w:r w:rsidR="009B4DAE">
        <w:rPr>
          <w:rFonts w:ascii="Calibri" w:eastAsia="Calibri" w:hAnsi="Calibri" w:cs="Calibri"/>
          <w:sz w:val="26"/>
          <w:szCs w:val="26"/>
        </w:rPr>
        <w:t>I., Statement of Work, Item E., Specific Requirements, is hereby modified as follows:</w:t>
      </w:r>
    </w:p>
    <w:p w14:paraId="614BA927" w14:textId="77777777" w:rsidR="009B4DAE" w:rsidRPr="00EA1E15" w:rsidRDefault="009B4DAE">
      <w:pPr>
        <w:rPr>
          <w:rFonts w:ascii="Calibri" w:eastAsia="Calibri" w:hAnsi="Calibri" w:cs="Calibri"/>
          <w:sz w:val="26"/>
          <w:szCs w:val="26"/>
        </w:rPr>
      </w:pPr>
    </w:p>
    <w:p w14:paraId="5AF05BA0" w14:textId="33129406" w:rsidR="005676B9" w:rsidRPr="005676B9" w:rsidRDefault="005676B9" w:rsidP="005676B9">
      <w:pPr>
        <w:pStyle w:val="Heading2"/>
        <w:numPr>
          <w:ilvl w:val="0"/>
          <w:numId w:val="2"/>
        </w:numPr>
        <w:rPr>
          <w:rFonts w:asciiTheme="majorHAnsi" w:hAnsiTheme="majorHAnsi" w:cstheme="majorHAnsi"/>
          <w:sz w:val="30"/>
          <w:szCs w:val="30"/>
        </w:rPr>
      </w:pPr>
      <w:bookmarkStart w:id="0" w:name="_Toc89621874"/>
      <w:r w:rsidRPr="005676B9">
        <w:rPr>
          <w:rFonts w:asciiTheme="majorHAnsi" w:hAnsiTheme="majorHAnsi" w:cstheme="majorHAnsi"/>
          <w:sz w:val="30"/>
          <w:szCs w:val="30"/>
        </w:rPr>
        <w:t>STATEMENT OF WORK</w:t>
      </w:r>
    </w:p>
    <w:p w14:paraId="705BC9E0" w14:textId="77777777" w:rsidR="005676B9" w:rsidRPr="005676B9" w:rsidRDefault="005676B9" w:rsidP="005676B9">
      <w:pPr>
        <w:rPr>
          <w:rFonts w:asciiTheme="majorHAnsi" w:hAnsiTheme="majorHAnsi" w:cstheme="majorHAnsi"/>
        </w:rPr>
      </w:pPr>
    </w:p>
    <w:p w14:paraId="376C765E" w14:textId="5BA9256E" w:rsidR="005676B9" w:rsidRPr="005676B9" w:rsidRDefault="005676B9" w:rsidP="005676B9">
      <w:pPr>
        <w:pStyle w:val="Heading2"/>
        <w:spacing w:after="240"/>
        <w:ind w:left="1440" w:hanging="720"/>
        <w:rPr>
          <w:rFonts w:asciiTheme="majorHAnsi" w:eastAsia="Times New Roman" w:hAnsiTheme="majorHAnsi" w:cstheme="majorHAnsi"/>
          <w:b w:val="0"/>
          <w:sz w:val="28"/>
          <w:szCs w:val="20"/>
          <w:u w:val="single"/>
        </w:rPr>
      </w:pPr>
      <w:r w:rsidRPr="005676B9">
        <w:rPr>
          <w:rFonts w:asciiTheme="majorHAnsi" w:eastAsia="Times New Roman" w:hAnsiTheme="majorHAnsi" w:cstheme="majorHAnsi"/>
          <w:b w:val="0"/>
          <w:sz w:val="28"/>
          <w:szCs w:val="20"/>
        </w:rPr>
        <w:tab/>
      </w:r>
      <w:r w:rsidRPr="005676B9">
        <w:rPr>
          <w:rFonts w:asciiTheme="majorHAnsi" w:eastAsia="Times New Roman" w:hAnsiTheme="majorHAnsi" w:cstheme="majorHAnsi"/>
          <w:b w:val="0"/>
          <w:sz w:val="28"/>
          <w:szCs w:val="20"/>
          <w:u w:val="single"/>
        </w:rPr>
        <w:t>E.  SPECIFIC REQUIREMENTS</w:t>
      </w:r>
      <w:bookmarkEnd w:id="0"/>
    </w:p>
    <w:p w14:paraId="5E0172D4" w14:textId="4ACE9A7A" w:rsidR="00712283" w:rsidRDefault="00712283" w:rsidP="00712283">
      <w:pPr>
        <w:ind w:left="1440"/>
        <w:contextualSpacing/>
        <w:rPr>
          <w:rFonts w:asciiTheme="majorHAnsi" w:hAnsiTheme="majorHAnsi" w:cstheme="majorHAnsi"/>
          <w:sz w:val="26"/>
          <w:szCs w:val="26"/>
        </w:rPr>
      </w:pPr>
      <w:r w:rsidRPr="00712283">
        <w:rPr>
          <w:rFonts w:asciiTheme="majorHAnsi" w:hAnsiTheme="majorHAnsi" w:cstheme="majorHAnsi"/>
          <w:sz w:val="26"/>
          <w:szCs w:val="26"/>
        </w:rPr>
        <w:t xml:space="preserve">3. Bidder </w:t>
      </w:r>
      <w:r w:rsidRPr="00712283">
        <w:rPr>
          <w:rFonts w:asciiTheme="majorHAnsi" w:hAnsiTheme="majorHAnsi" w:cstheme="majorHAnsi"/>
          <w:color w:val="000000"/>
          <w:spacing w:val="-3"/>
          <w:sz w:val="26"/>
          <w:szCs w:val="26"/>
        </w:rPr>
        <w:t>must</w:t>
      </w:r>
      <w:r w:rsidRPr="00712283">
        <w:rPr>
          <w:rFonts w:asciiTheme="majorHAnsi" w:hAnsiTheme="majorHAnsi" w:cstheme="majorHAnsi"/>
          <w:sz w:val="26"/>
          <w:szCs w:val="26"/>
        </w:rPr>
        <w:t xml:space="preserve"> follow all guidelines set forth by ACPHD </w:t>
      </w:r>
      <w:proofErr w:type="gramStart"/>
      <w:r w:rsidRPr="00712283">
        <w:rPr>
          <w:rFonts w:asciiTheme="majorHAnsi" w:hAnsiTheme="majorHAnsi" w:cstheme="majorHAnsi"/>
          <w:sz w:val="26"/>
          <w:szCs w:val="26"/>
        </w:rPr>
        <w:t>with regard to</w:t>
      </w:r>
      <w:proofErr w:type="gramEnd"/>
      <w:r w:rsidRPr="00712283">
        <w:rPr>
          <w:rFonts w:asciiTheme="majorHAnsi" w:hAnsiTheme="majorHAnsi" w:cstheme="majorHAnsi"/>
          <w:sz w:val="26"/>
          <w:szCs w:val="26"/>
        </w:rPr>
        <w:t xml:space="preserve"> testing and testing sites</w:t>
      </w:r>
      <w:r w:rsidRPr="00BA7BF7">
        <w:rPr>
          <w:rFonts w:asciiTheme="majorHAnsi" w:hAnsiTheme="majorHAnsi" w:cstheme="majorHAnsi"/>
          <w:strike/>
          <w:sz w:val="26"/>
          <w:szCs w:val="26"/>
        </w:rPr>
        <w:t>.</w:t>
      </w:r>
      <w:r w:rsidR="00BA7BF7" w:rsidRPr="00BA7BF7">
        <w:rPr>
          <w:rFonts w:asciiTheme="majorHAnsi" w:hAnsiTheme="majorHAnsi" w:cstheme="majorHAnsi"/>
          <w:b/>
          <w:sz w:val="26"/>
          <w:szCs w:val="26"/>
          <w:highlight w:val="yellow"/>
        </w:rPr>
        <w:t>:</w:t>
      </w:r>
      <w:r w:rsidRPr="00BA7BF7">
        <w:rPr>
          <w:rFonts w:asciiTheme="majorHAnsi" w:hAnsiTheme="majorHAnsi" w:cstheme="majorHAnsi"/>
          <w:sz w:val="26"/>
          <w:szCs w:val="26"/>
        </w:rPr>
        <w:t xml:space="preserve"> </w:t>
      </w:r>
    </w:p>
    <w:p w14:paraId="2DB8A5BB" w14:textId="1FBACFE0" w:rsidR="00712283" w:rsidRPr="00714A4B" w:rsidRDefault="00712283" w:rsidP="00712283">
      <w:pPr>
        <w:rPr>
          <w:rFonts w:asciiTheme="majorHAnsi" w:hAnsiTheme="majorHAnsi" w:cstheme="majorHAnsi"/>
          <w:sz w:val="26"/>
          <w:szCs w:val="26"/>
        </w:rPr>
      </w:pPr>
    </w:p>
    <w:p w14:paraId="5493B033" w14:textId="6FF02570" w:rsidR="00BA7BF7" w:rsidRPr="00BA7BF7" w:rsidRDefault="00BA7BF7" w:rsidP="00BA7BF7">
      <w:pPr>
        <w:ind w:left="1440"/>
        <w:rPr>
          <w:rFonts w:asciiTheme="majorHAnsi" w:hAnsiTheme="majorHAnsi" w:cstheme="majorHAnsi"/>
          <w:b/>
          <w:bCs/>
          <w:sz w:val="26"/>
          <w:szCs w:val="26"/>
          <w:highlight w:val="yellow"/>
        </w:rPr>
      </w:pPr>
      <w:r>
        <w:rPr>
          <w:rFonts w:asciiTheme="majorHAnsi" w:hAnsiTheme="majorHAnsi" w:cstheme="majorHAnsi"/>
          <w:b/>
          <w:bCs/>
          <w:sz w:val="26"/>
          <w:szCs w:val="26"/>
          <w:highlight w:val="yellow"/>
        </w:rPr>
        <w:lastRenderedPageBreak/>
        <w:t>Alameda County Testing C</w:t>
      </w:r>
      <w:r w:rsidRPr="00BA7BF7">
        <w:rPr>
          <w:rFonts w:asciiTheme="majorHAnsi" w:hAnsiTheme="majorHAnsi" w:cstheme="majorHAnsi"/>
          <w:b/>
          <w:bCs/>
          <w:sz w:val="26"/>
          <w:szCs w:val="26"/>
          <w:highlight w:val="yellow"/>
        </w:rPr>
        <w:t xml:space="preserve">riteria: </w:t>
      </w:r>
      <w:hyperlink r:id="rId9" w:history="1">
        <w:r w:rsidRPr="001C2D05">
          <w:rPr>
            <w:rStyle w:val="Hyperlink"/>
            <w:rFonts w:asciiTheme="majorHAnsi" w:hAnsiTheme="majorHAnsi" w:cstheme="majorHAnsi"/>
            <w:b/>
            <w:bCs/>
            <w:sz w:val="26"/>
            <w:szCs w:val="26"/>
            <w:highlight w:val="yellow"/>
          </w:rPr>
          <w:t>https://covid-19.acgov.org/covid19-assets/docs/testing/testing-guidance-for-alameda-county-2020.08.17.pdf</w:t>
        </w:r>
      </w:hyperlink>
    </w:p>
    <w:p w14:paraId="71148640" w14:textId="2A8275C8" w:rsidR="00712283" w:rsidRDefault="00BA7BF7" w:rsidP="00BA7BF7">
      <w:pPr>
        <w:ind w:left="1440"/>
        <w:rPr>
          <w:rFonts w:ascii="Calibri" w:hAnsi="Calibri" w:cs="Calibri"/>
          <w:b/>
          <w:bCs/>
          <w:sz w:val="26"/>
          <w:szCs w:val="26"/>
          <w:highlight w:val="yellow"/>
        </w:rPr>
      </w:pPr>
      <w:r>
        <w:rPr>
          <w:rFonts w:asciiTheme="majorHAnsi" w:hAnsiTheme="majorHAnsi" w:cstheme="majorHAnsi"/>
          <w:b/>
          <w:bCs/>
          <w:sz w:val="26"/>
          <w:szCs w:val="26"/>
          <w:highlight w:val="yellow"/>
        </w:rPr>
        <w:t>Alameda County Testing Site R</w:t>
      </w:r>
      <w:r w:rsidRPr="00BA7BF7">
        <w:rPr>
          <w:rFonts w:asciiTheme="majorHAnsi" w:hAnsiTheme="majorHAnsi" w:cstheme="majorHAnsi"/>
          <w:b/>
          <w:bCs/>
          <w:sz w:val="26"/>
          <w:szCs w:val="26"/>
          <w:highlight w:val="yellow"/>
        </w:rPr>
        <w:t xml:space="preserve">equirements: </w:t>
      </w:r>
      <w:hyperlink r:id="rId10" w:history="1">
        <w:r w:rsidRPr="001C2D05">
          <w:rPr>
            <w:rStyle w:val="Hyperlink"/>
            <w:rFonts w:asciiTheme="majorHAnsi" w:hAnsiTheme="majorHAnsi" w:cstheme="majorHAnsi"/>
            <w:b/>
            <w:bCs/>
            <w:sz w:val="26"/>
            <w:szCs w:val="26"/>
            <w:highlight w:val="yellow"/>
          </w:rPr>
          <w:t>https://covid-19.acgov.org/covid19-assets/docs/testing/testing-site-requirements-acphd-2020.03.30.pdf</w:t>
        </w:r>
      </w:hyperlink>
    </w:p>
    <w:p w14:paraId="0BD21A3A" w14:textId="23E69BF5" w:rsidR="00BA7BF7" w:rsidRPr="00BA7BF7" w:rsidRDefault="00BA7BF7" w:rsidP="00712283">
      <w:pPr>
        <w:ind w:left="1440"/>
        <w:rPr>
          <w:rFonts w:asciiTheme="majorHAnsi" w:hAnsiTheme="majorHAnsi"/>
          <w:b/>
          <w:bCs/>
          <w:sz w:val="26"/>
          <w:szCs w:val="26"/>
          <w:highlight w:val="yellow"/>
        </w:rPr>
      </w:pPr>
      <w:r>
        <w:rPr>
          <w:rFonts w:asciiTheme="majorHAnsi" w:hAnsiTheme="majorHAnsi"/>
          <w:b/>
          <w:bCs/>
          <w:sz w:val="26"/>
          <w:szCs w:val="26"/>
          <w:highlight w:val="yellow"/>
        </w:rPr>
        <w:t>Should the County make future changes to the testing criteria and testing site requirements, the County would communicate those changes to providers.</w:t>
      </w:r>
    </w:p>
    <w:p w14:paraId="7C09D61D" w14:textId="77777777" w:rsidR="00BA7BF7" w:rsidRDefault="00BA7BF7" w:rsidP="00712283">
      <w:pPr>
        <w:ind w:left="1440"/>
        <w:rPr>
          <w:rFonts w:asciiTheme="majorHAnsi" w:hAnsiTheme="majorHAnsi"/>
          <w:b/>
          <w:bCs/>
          <w:sz w:val="26"/>
          <w:szCs w:val="26"/>
          <w:highlight w:val="yellow"/>
        </w:rPr>
      </w:pPr>
    </w:p>
    <w:p w14:paraId="51801513" w14:textId="3BB437EC" w:rsidR="00926491" w:rsidRDefault="005676B9" w:rsidP="00712283">
      <w:pPr>
        <w:ind w:left="1440"/>
        <w:rPr>
          <w:rFonts w:asciiTheme="majorHAnsi" w:hAnsiTheme="majorHAnsi"/>
          <w:b/>
          <w:bCs/>
          <w:sz w:val="26"/>
          <w:szCs w:val="26"/>
          <w:highlight w:val="yellow"/>
        </w:rPr>
      </w:pPr>
      <w:r w:rsidRPr="00926491">
        <w:rPr>
          <w:rFonts w:asciiTheme="majorHAnsi" w:hAnsiTheme="majorHAnsi"/>
          <w:b/>
          <w:bCs/>
          <w:sz w:val="26"/>
          <w:szCs w:val="26"/>
          <w:highlight w:val="yellow"/>
        </w:rPr>
        <w:t xml:space="preserve">6. </w:t>
      </w:r>
      <w:r w:rsidR="00926491" w:rsidRPr="00926491">
        <w:rPr>
          <w:rFonts w:asciiTheme="majorHAnsi" w:hAnsiTheme="majorHAnsi"/>
          <w:b/>
          <w:bCs/>
          <w:sz w:val="26"/>
          <w:szCs w:val="26"/>
          <w:highlight w:val="yellow"/>
        </w:rPr>
        <w:t>Contracted vendors must utilize the State’s lab services vendors and additional labs provided by the County. Additionally, the County will coordinate appropriate lab services to meet the needs of vendors providing mobile or response testing.</w:t>
      </w:r>
    </w:p>
    <w:p w14:paraId="2BBE1DB7" w14:textId="77777777" w:rsidR="009B4DAE" w:rsidRDefault="009B4DAE" w:rsidP="009B4DAE">
      <w:pPr>
        <w:rPr>
          <w:rFonts w:ascii="Calibri" w:eastAsia="Calibri" w:hAnsi="Calibri" w:cs="Calibri"/>
          <w:b/>
          <w:sz w:val="26"/>
          <w:szCs w:val="26"/>
        </w:rPr>
      </w:pPr>
    </w:p>
    <w:p w14:paraId="79932BA2" w14:textId="311D5320" w:rsidR="009B4DAE" w:rsidRDefault="009B4DAE" w:rsidP="009B4DAE">
      <w:pPr>
        <w:rPr>
          <w:rFonts w:ascii="Calibri" w:eastAsia="Calibri" w:hAnsi="Calibri" w:cs="Calibri"/>
          <w:sz w:val="26"/>
          <w:szCs w:val="26"/>
        </w:rPr>
      </w:pPr>
      <w:r>
        <w:rPr>
          <w:rFonts w:ascii="Calibri" w:eastAsia="Calibri" w:hAnsi="Calibri" w:cs="Calibri"/>
          <w:sz w:val="26"/>
          <w:szCs w:val="26"/>
        </w:rPr>
        <w:t>Exhibit A, Bid Response Packet, Required Documentation and Submittals, Item 9, is hereby modified as follows:</w:t>
      </w:r>
    </w:p>
    <w:p w14:paraId="4D0ABBD4" w14:textId="0640792E" w:rsidR="009B4DAE" w:rsidRDefault="009B4DAE" w:rsidP="009B4DAE">
      <w:pPr>
        <w:rPr>
          <w:rFonts w:ascii="Calibri" w:eastAsia="Calibri" w:hAnsi="Calibri" w:cs="Calibri"/>
          <w:sz w:val="26"/>
          <w:szCs w:val="26"/>
        </w:rPr>
      </w:pPr>
    </w:p>
    <w:p w14:paraId="125A132C" w14:textId="7FD6A1D3" w:rsidR="009B4DAE" w:rsidRPr="009B4DAE" w:rsidRDefault="009B4DAE" w:rsidP="009B4DAE">
      <w:pPr>
        <w:numPr>
          <w:ilvl w:val="0"/>
          <w:numId w:val="1"/>
        </w:numPr>
        <w:tabs>
          <w:tab w:val="left" w:pos="1821"/>
        </w:tabs>
        <w:kinsoku w:val="0"/>
        <w:overflowPunct w:val="0"/>
        <w:ind w:right="256"/>
        <w:rPr>
          <w:rFonts w:ascii="Calibri" w:hAnsi="Calibri"/>
          <w:sz w:val="24"/>
          <w:szCs w:val="24"/>
        </w:rPr>
      </w:pPr>
      <w:r w:rsidRPr="009B4DAE">
        <w:rPr>
          <w:noProof/>
          <w:sz w:val="26"/>
        </w:rPr>
        <mc:AlternateContent>
          <mc:Choice Requires="wps">
            <w:drawing>
              <wp:anchor distT="0" distB="0" distL="114300" distR="114300" simplePos="0" relativeHeight="251659264" behindDoc="0" locked="0" layoutInCell="0" allowOverlap="1" wp14:anchorId="47AB5148" wp14:editId="680B21B2">
                <wp:simplePos x="0" y="0"/>
                <wp:positionH relativeFrom="page">
                  <wp:posOffset>444500</wp:posOffset>
                </wp:positionH>
                <wp:positionV relativeFrom="paragraph">
                  <wp:posOffset>46355</wp:posOffset>
                </wp:positionV>
                <wp:extent cx="172720" cy="172720"/>
                <wp:effectExtent l="0" t="0" r="17780" b="1778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D1A0" id="Freeform 45" o:spid="_x0000_s1026" style="position:absolute;margin-left:35pt;margin-top:3.65pt;width:13.6pt;height:1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" o:allowincell="f" path="m,271r271,l271,,,,,271xe" filled="f" strokeweight=".72pt">
                <v:path arrowok="t" o:connecttype="custom" o:connectlocs="0,172085;172085,172085;172085,0;0,0;0,172085" o:connectangles="0,0,0,0,0"/>
                <w10:wrap anchorx="page"/>
              </v:shape>
            </w:pict>
          </mc:Fallback>
        </mc:AlternateContent>
      </w:r>
      <w:r w:rsidRPr="009B4DAE">
        <w:rPr>
          <w:rFonts w:ascii="Calibri" w:eastAsia="PMingLiU" w:hAnsi="Calibri"/>
          <w:b/>
          <w:bCs/>
          <w:sz w:val="24"/>
          <w:szCs w:val="24"/>
        </w:rPr>
        <w:t>Cost</w:t>
      </w:r>
      <w:r w:rsidRPr="009B4DAE">
        <w:rPr>
          <w:rFonts w:ascii="Calibri" w:hAnsi="Calibri"/>
          <w:b/>
          <w:color w:val="000000"/>
          <w:sz w:val="24"/>
          <w:szCs w:val="24"/>
        </w:rPr>
        <w:t xml:space="preserve"> and Budget Narrative (2-4 single-spaced pages)</w:t>
      </w:r>
      <w:r w:rsidRPr="009B4DAE">
        <w:rPr>
          <w:rFonts w:ascii="Calibri" w:hAnsi="Calibri"/>
          <w:color w:val="000000"/>
          <w:sz w:val="24"/>
          <w:szCs w:val="24"/>
        </w:rPr>
        <w:t xml:space="preserve">: Bidder shall use the Budget Form in Exhibit B, to detail proposed costs for a three-month period in an amount in the range of $200,000 and $1 million. </w:t>
      </w:r>
      <w:r w:rsidRPr="009B4DAE">
        <w:rPr>
          <w:rFonts w:ascii="Calibri" w:hAnsi="Calibri"/>
          <w:sz w:val="24"/>
          <w:szCs w:val="24"/>
        </w:rPr>
        <w:t xml:space="preserve">The bidder’s proposed budget shall state costs, including staffing, indirect costs, etc. for the proposed services. </w:t>
      </w:r>
      <w:r w:rsidRPr="009B4DAE">
        <w:rPr>
          <w:rFonts w:ascii="Calibri" w:eastAsia="PMingLiU" w:hAnsi="Calibri"/>
          <w:sz w:val="24"/>
          <w:szCs w:val="24"/>
        </w:rPr>
        <w:t>In addition to the Budget Table, Bidder shall provide a budget narrative to aid the reader in evaluating the budget. The budget information presented in the budget table and budget narrative combined shall include</w:t>
      </w:r>
      <w:r w:rsidRPr="009B4DAE">
        <w:rPr>
          <w:rFonts w:ascii="Calibri" w:hAnsi="Calibri"/>
          <w:sz w:val="24"/>
          <w:szCs w:val="24"/>
        </w:rPr>
        <w:t xml:space="preserve">: </w:t>
      </w:r>
    </w:p>
    <w:p w14:paraId="249E348F" w14:textId="77777777" w:rsidR="009B4DAE" w:rsidRPr="009B4DAE" w:rsidRDefault="009B4DAE" w:rsidP="009B4DAE">
      <w:pPr>
        <w:numPr>
          <w:ilvl w:val="0"/>
          <w:numId w:val="4"/>
        </w:numPr>
        <w:tabs>
          <w:tab w:val="left" w:pos="1821"/>
        </w:tabs>
        <w:kinsoku w:val="0"/>
        <w:overflowPunct w:val="0"/>
        <w:ind w:left="2250" w:right="257" w:hanging="450"/>
        <w:rPr>
          <w:rFonts w:ascii="Calibri" w:hAnsi="Calibri" w:cs="Calibri"/>
          <w:color w:val="000000"/>
          <w:sz w:val="24"/>
          <w:szCs w:val="24"/>
        </w:rPr>
      </w:pPr>
      <w:r w:rsidRPr="009B4DAE">
        <w:rPr>
          <w:rFonts w:ascii="Calibri" w:hAnsi="Calibri" w:cs="Calibri"/>
          <w:color w:val="000000"/>
          <w:sz w:val="24"/>
          <w:szCs w:val="24"/>
        </w:rPr>
        <w:t xml:space="preserve">The positions of all individuals that will perform the services; </w:t>
      </w:r>
    </w:p>
    <w:p w14:paraId="645326EA" w14:textId="77777777" w:rsidR="009B4DAE" w:rsidRPr="009B4DAE" w:rsidRDefault="009B4DAE" w:rsidP="009B4DAE">
      <w:pPr>
        <w:numPr>
          <w:ilvl w:val="0"/>
          <w:numId w:val="4"/>
        </w:numPr>
        <w:tabs>
          <w:tab w:val="left" w:pos="1821"/>
        </w:tabs>
        <w:kinsoku w:val="0"/>
        <w:overflowPunct w:val="0"/>
        <w:ind w:left="2250" w:right="257" w:hanging="450"/>
        <w:rPr>
          <w:rFonts w:ascii="Calibri" w:hAnsi="Calibri" w:cs="Calibri"/>
          <w:color w:val="000000"/>
          <w:sz w:val="24"/>
          <w:szCs w:val="24"/>
        </w:rPr>
      </w:pPr>
      <w:r w:rsidRPr="009B4DAE">
        <w:rPr>
          <w:rFonts w:ascii="Calibri" w:hAnsi="Calibri" w:cs="Calibri"/>
          <w:color w:val="000000"/>
          <w:sz w:val="24"/>
          <w:szCs w:val="24"/>
        </w:rPr>
        <w:t xml:space="preserve">The percentage of FTE (one full-time employee = 100% FTE) for all personnel listed as well as salary information. </w:t>
      </w:r>
    </w:p>
    <w:p w14:paraId="6508DE75" w14:textId="77777777" w:rsidR="009B4DAE" w:rsidRPr="009B4DAE" w:rsidRDefault="009B4DAE" w:rsidP="009B4DAE">
      <w:pPr>
        <w:numPr>
          <w:ilvl w:val="0"/>
          <w:numId w:val="4"/>
        </w:numPr>
        <w:tabs>
          <w:tab w:val="left" w:pos="1821"/>
        </w:tabs>
        <w:kinsoku w:val="0"/>
        <w:overflowPunct w:val="0"/>
        <w:ind w:left="2250" w:right="257" w:hanging="450"/>
        <w:rPr>
          <w:sz w:val="26"/>
        </w:rPr>
      </w:pPr>
      <w:r w:rsidRPr="009B4DAE">
        <w:rPr>
          <w:rFonts w:ascii="Calibri" w:hAnsi="Calibri" w:cs="Calibri"/>
          <w:color w:val="000000"/>
          <w:sz w:val="24"/>
          <w:szCs w:val="24"/>
        </w:rPr>
        <w:t>Brief justification for each line item (for operational or subcontractor costs).</w:t>
      </w:r>
    </w:p>
    <w:p w14:paraId="204B2D96" w14:textId="19DA5297" w:rsidR="009B4DAE" w:rsidRDefault="009B4DAE" w:rsidP="009B4DAE">
      <w:pPr>
        <w:tabs>
          <w:tab w:val="left" w:pos="1821"/>
        </w:tabs>
        <w:kinsoku w:val="0"/>
        <w:overflowPunct w:val="0"/>
        <w:ind w:left="1800" w:right="257"/>
        <w:rPr>
          <w:rFonts w:ascii="Calibri" w:hAnsi="Calibri" w:cs="Calibri"/>
          <w:b/>
          <w:color w:val="000000"/>
          <w:sz w:val="24"/>
          <w:szCs w:val="24"/>
        </w:rPr>
      </w:pPr>
      <w:r w:rsidRPr="009B4DAE">
        <w:rPr>
          <w:rFonts w:ascii="Calibri" w:hAnsi="Calibri" w:cs="Calibri"/>
          <w:color w:val="000000"/>
          <w:sz w:val="24"/>
          <w:szCs w:val="24"/>
        </w:rPr>
        <w:t xml:space="preserve">Bidder’s price quotes and proposed services should be developed and submitted according to the conditions </w:t>
      </w:r>
      <w:r w:rsidRPr="009B4DAE">
        <w:rPr>
          <w:rFonts w:ascii="Calibri" w:hAnsi="Calibri" w:cs="Calibri"/>
          <w:sz w:val="24"/>
          <w:szCs w:val="24"/>
        </w:rPr>
        <w:t>in the Scope and Specific Requirements sections of this RFP</w:t>
      </w:r>
      <w:r w:rsidRPr="009B4DAE">
        <w:rPr>
          <w:rFonts w:ascii="Calibri" w:hAnsi="Calibri" w:cs="Calibri"/>
          <w:color w:val="000000"/>
          <w:sz w:val="24"/>
          <w:szCs w:val="24"/>
        </w:rPr>
        <w:t>.</w:t>
      </w:r>
      <w:r>
        <w:rPr>
          <w:rFonts w:ascii="Calibri" w:hAnsi="Calibri" w:cs="Calibri"/>
          <w:color w:val="000000"/>
          <w:sz w:val="24"/>
          <w:szCs w:val="24"/>
        </w:rPr>
        <w:t xml:space="preserve"> </w:t>
      </w:r>
    </w:p>
    <w:p w14:paraId="679F2C0A" w14:textId="5384D74A" w:rsidR="009B4DAE" w:rsidRPr="009B4DAE" w:rsidRDefault="009B4DAE" w:rsidP="009B4DAE">
      <w:pPr>
        <w:tabs>
          <w:tab w:val="left" w:pos="1821"/>
        </w:tabs>
        <w:kinsoku w:val="0"/>
        <w:overflowPunct w:val="0"/>
        <w:ind w:left="1800" w:right="257"/>
        <w:rPr>
          <w:rFonts w:ascii="Calibri" w:hAnsi="Calibri" w:cs="Calibri"/>
          <w:b/>
          <w:color w:val="000000"/>
          <w:sz w:val="24"/>
          <w:szCs w:val="24"/>
        </w:rPr>
      </w:pPr>
      <w:r w:rsidRPr="009B4DAE">
        <w:rPr>
          <w:rFonts w:ascii="Calibri" w:hAnsi="Calibri" w:cs="Calibri"/>
          <w:b/>
          <w:color w:val="000000"/>
          <w:sz w:val="24"/>
          <w:szCs w:val="24"/>
          <w:highlight w:val="yellow"/>
        </w:rPr>
        <w:t xml:space="preserve">Lab expenses are not allowed in the proposed budget. </w:t>
      </w:r>
      <w:r w:rsidRPr="009B4DAE">
        <w:rPr>
          <w:rFonts w:ascii="Calibri" w:hAnsi="Calibri" w:cs="Calibri"/>
          <w:b/>
          <w:bCs/>
          <w:color w:val="000000"/>
          <w:sz w:val="24"/>
          <w:szCs w:val="24"/>
          <w:highlight w:val="yellow"/>
        </w:rPr>
        <w:t>Contracted vendors must utilize the State’s lab services vendors and additional labs provided by the County. Additionally, the County will coordinate appropriate lab services to meet the needs of vendors providing mobile or response testing.</w:t>
      </w:r>
    </w:p>
    <w:p w14:paraId="72759115" w14:textId="77777777" w:rsidR="009B4DAE" w:rsidRDefault="009B4DAE" w:rsidP="009B4DAE">
      <w:pPr>
        <w:rPr>
          <w:rFonts w:ascii="Calibri" w:eastAsia="Calibri" w:hAnsi="Calibri" w:cs="Calibri"/>
          <w:sz w:val="26"/>
          <w:szCs w:val="26"/>
        </w:rPr>
      </w:pPr>
    </w:p>
    <w:p w14:paraId="3786C714" w14:textId="6DDAAFB2" w:rsidR="009B4DAE" w:rsidRDefault="009B4DAE" w:rsidP="009B4DAE">
      <w:pPr>
        <w:rPr>
          <w:rFonts w:ascii="Calibri" w:eastAsia="Calibri" w:hAnsi="Calibri" w:cs="Calibri"/>
          <w:sz w:val="26"/>
          <w:szCs w:val="26"/>
        </w:rPr>
      </w:pPr>
      <w:r>
        <w:rPr>
          <w:rFonts w:ascii="Calibri" w:eastAsia="Calibri" w:hAnsi="Calibri" w:cs="Calibri"/>
          <w:sz w:val="26"/>
          <w:szCs w:val="26"/>
        </w:rPr>
        <w:t>Exhibit B, Bid Forms, Budget Form, is hereby modified as follows:</w:t>
      </w:r>
    </w:p>
    <w:p w14:paraId="1BD687A0" w14:textId="77777777" w:rsidR="009B4DAE" w:rsidRDefault="009B4DAE" w:rsidP="009B4DAE">
      <w:pPr>
        <w:tabs>
          <w:tab w:val="center" w:pos="5220"/>
        </w:tabs>
        <w:jc w:val="center"/>
        <w:rPr>
          <w:rFonts w:ascii="Calibri" w:hAnsi="Calibri"/>
          <w:b/>
          <w:spacing w:val="-3"/>
          <w:sz w:val="32"/>
        </w:rPr>
      </w:pPr>
    </w:p>
    <w:p w14:paraId="56B1A4A1" w14:textId="1966E7C7" w:rsidR="009B4DAE" w:rsidRPr="00691AAE" w:rsidRDefault="009B4DAE" w:rsidP="009B4DAE">
      <w:pPr>
        <w:tabs>
          <w:tab w:val="center" w:pos="5220"/>
        </w:tabs>
        <w:jc w:val="center"/>
        <w:rPr>
          <w:rFonts w:ascii="Calibri" w:hAnsi="Calibri"/>
          <w:b/>
          <w:spacing w:val="-3"/>
          <w:sz w:val="32"/>
        </w:rPr>
      </w:pPr>
      <w:r>
        <w:rPr>
          <w:rFonts w:ascii="Calibri" w:hAnsi="Calibri"/>
          <w:b/>
          <w:spacing w:val="-3"/>
          <w:sz w:val="32"/>
        </w:rPr>
        <w:t>BUDGET</w:t>
      </w:r>
      <w:r w:rsidRPr="00691AAE">
        <w:rPr>
          <w:rFonts w:ascii="Calibri" w:hAnsi="Calibri"/>
          <w:b/>
          <w:spacing w:val="-3"/>
          <w:sz w:val="32"/>
        </w:rPr>
        <w:t xml:space="preserve"> FORM</w:t>
      </w:r>
    </w:p>
    <w:p w14:paraId="34F52B2E" w14:textId="0079E58C" w:rsidR="009B4DAE" w:rsidRPr="009B4DAE" w:rsidRDefault="009B4DAE" w:rsidP="009B4DAE">
      <w:pPr>
        <w:spacing w:before="80"/>
        <w:ind w:left="360" w:right="468"/>
        <w:rPr>
          <w:rFonts w:ascii="Calibri" w:eastAsia="Cambria" w:hAnsi="Calibri" w:cs="Calibri"/>
          <w:sz w:val="26"/>
          <w:szCs w:val="26"/>
        </w:rPr>
      </w:pPr>
      <w:r>
        <w:rPr>
          <w:rFonts w:ascii="Calibri" w:eastAsia="Cambria" w:hAnsi="Calibri" w:cs="Calibri"/>
          <w:sz w:val="26"/>
          <w:szCs w:val="26"/>
        </w:rPr>
        <w:t>C</w:t>
      </w:r>
      <w:r w:rsidRPr="009B4DAE">
        <w:rPr>
          <w:rFonts w:ascii="Calibri" w:eastAsia="Cambria" w:hAnsi="Calibri" w:cs="Calibri"/>
          <w:sz w:val="26"/>
          <w:szCs w:val="26"/>
        </w:rPr>
        <w:t xml:space="preserve">ost can be submitted using one of the applicable budget formats below. Alterations and changes are permitted but must clearly show all line item costs. This quote should state all costs associated with service provision over </w:t>
      </w:r>
      <w:r w:rsidRPr="009B4DAE">
        <w:rPr>
          <w:rFonts w:ascii="Calibri" w:eastAsia="Cambria" w:hAnsi="Calibri" w:cs="Calibri"/>
          <w:strike/>
          <w:sz w:val="26"/>
          <w:szCs w:val="26"/>
        </w:rPr>
        <w:t>up to</w:t>
      </w:r>
      <w:r w:rsidRPr="009B4DAE">
        <w:rPr>
          <w:rFonts w:ascii="Calibri" w:eastAsia="Cambria" w:hAnsi="Calibri" w:cs="Calibri"/>
          <w:sz w:val="26"/>
          <w:szCs w:val="26"/>
        </w:rPr>
        <w:t xml:space="preserve"> a </w:t>
      </w:r>
      <w:r w:rsidRPr="009B4DAE">
        <w:rPr>
          <w:rFonts w:ascii="Calibri" w:eastAsia="Cambria" w:hAnsi="Calibri" w:cs="Calibri"/>
          <w:strike/>
          <w:sz w:val="26"/>
          <w:szCs w:val="26"/>
        </w:rPr>
        <w:t>X</w:t>
      </w:r>
      <w:r w:rsidRPr="009B4DAE">
        <w:rPr>
          <w:rFonts w:ascii="Calibri" w:eastAsia="Cambria" w:hAnsi="Calibri" w:cs="Calibri"/>
          <w:sz w:val="26"/>
          <w:szCs w:val="26"/>
        </w:rPr>
        <w:t xml:space="preserve"> </w:t>
      </w:r>
      <w:r w:rsidRPr="009B4DAE">
        <w:rPr>
          <w:rFonts w:ascii="Calibri" w:eastAsia="Cambria" w:hAnsi="Calibri" w:cs="Calibri"/>
          <w:b/>
          <w:sz w:val="26"/>
          <w:szCs w:val="26"/>
          <w:highlight w:val="yellow"/>
        </w:rPr>
        <w:t>three (3)</w:t>
      </w:r>
      <w:r>
        <w:rPr>
          <w:rFonts w:ascii="Calibri" w:eastAsia="Cambria" w:hAnsi="Calibri" w:cs="Calibri"/>
          <w:sz w:val="26"/>
          <w:szCs w:val="26"/>
        </w:rPr>
        <w:t xml:space="preserve"> </w:t>
      </w:r>
      <w:r w:rsidRPr="009B4DAE">
        <w:rPr>
          <w:rFonts w:ascii="Calibri" w:eastAsia="Cambria" w:hAnsi="Calibri" w:cs="Calibri"/>
          <w:sz w:val="26"/>
          <w:szCs w:val="26"/>
        </w:rPr>
        <w:t>month contract period. Final pricing will be subject to further negotiation and based on agreed scope of services.</w:t>
      </w:r>
    </w:p>
    <w:p w14:paraId="4EFAC31E" w14:textId="77777777" w:rsidR="00A33894" w:rsidRPr="005676B9" w:rsidRDefault="00A33894" w:rsidP="005676B9">
      <w:pPr>
        <w:tabs>
          <w:tab w:val="left" w:pos="720"/>
        </w:tabs>
        <w:rPr>
          <w:rFonts w:asciiTheme="majorHAnsi" w:hAnsiTheme="majorHAnsi" w:cstheme="majorHAnsi"/>
        </w:rPr>
      </w:pPr>
    </w:p>
    <w:sectPr w:rsidR="00A33894" w:rsidRPr="005676B9" w:rsidSect="00714A4B">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864"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CA6F" w14:textId="77777777" w:rsidR="00714A4B" w:rsidRDefault="00714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76823C8C" w:rsidR="006D7D2F" w:rsidRDefault="00E95F61" w:rsidP="00714A4B">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34AA2">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D34AA2">
      <w:rPr>
        <w:rFonts w:ascii="Calibri" w:eastAsia="Calibri" w:hAnsi="Calibri" w:cs="Calibri"/>
        <w:noProof/>
        <w:color w:val="000000"/>
      </w:rPr>
      <w:t>2</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493" w14:textId="0F27FEEF" w:rsidR="00714A4B" w:rsidRPr="00714A4B" w:rsidRDefault="00714A4B">
    <w:pPr>
      <w:pStyle w:val="Footer"/>
      <w:jc w:val="center"/>
      <w:rPr>
        <w:rFonts w:ascii="Calibri" w:hAnsi="Calibri" w:cs="Calibri"/>
      </w:rPr>
    </w:pPr>
    <w:r w:rsidRPr="00714A4B">
      <w:rPr>
        <w:rFonts w:ascii="Calibri" w:hAnsi="Calibri" w:cs="Calibri"/>
      </w:rPr>
      <w:t>Page</w:t>
    </w:r>
    <w:sdt>
      <w:sdtPr>
        <w:rPr>
          <w:rFonts w:ascii="Calibri" w:hAnsi="Calibri" w:cs="Calibri"/>
        </w:rPr>
        <w:id w:val="-1427800516"/>
        <w:docPartObj>
          <w:docPartGallery w:val="Page Numbers (Bottom of Page)"/>
          <w:docPartUnique/>
        </w:docPartObj>
      </w:sdtPr>
      <w:sdtEndPr>
        <w:rPr>
          <w:noProof/>
        </w:rPr>
      </w:sdtEndPr>
      <w:sdtContent>
        <w:r w:rsidRPr="00714A4B">
          <w:rPr>
            <w:rFonts w:ascii="Calibri" w:hAnsi="Calibri" w:cs="Calibri"/>
          </w:rPr>
          <w:t xml:space="preserve"> </w:t>
        </w:r>
        <w:r w:rsidRPr="00714A4B">
          <w:rPr>
            <w:rFonts w:ascii="Calibri" w:hAnsi="Calibri" w:cs="Calibri"/>
          </w:rPr>
          <w:fldChar w:fldCharType="begin"/>
        </w:r>
        <w:r w:rsidRPr="00714A4B">
          <w:rPr>
            <w:rFonts w:ascii="Calibri" w:hAnsi="Calibri" w:cs="Calibri"/>
          </w:rPr>
          <w:instrText xml:space="preserve"> PAGE   \* MERGEFORMAT </w:instrText>
        </w:r>
        <w:r w:rsidRPr="00714A4B">
          <w:rPr>
            <w:rFonts w:ascii="Calibri" w:hAnsi="Calibri" w:cs="Calibri"/>
          </w:rPr>
          <w:fldChar w:fldCharType="separate"/>
        </w:r>
        <w:r w:rsidR="00D34AA2">
          <w:rPr>
            <w:rFonts w:ascii="Calibri" w:hAnsi="Calibri" w:cs="Calibri"/>
            <w:noProof/>
          </w:rPr>
          <w:t>1</w:t>
        </w:r>
        <w:r w:rsidRPr="00714A4B">
          <w:rPr>
            <w:rFonts w:ascii="Calibri" w:hAnsi="Calibri" w:cs="Calibri"/>
            <w:noProof/>
          </w:rPr>
          <w:fldChar w:fldCharType="end"/>
        </w:r>
        <w:r w:rsidRPr="00714A4B">
          <w:rPr>
            <w:rFonts w:ascii="Calibri" w:hAnsi="Calibri" w:cs="Calibri"/>
            <w:noProof/>
          </w:rPr>
          <w:t xml:space="preserve"> of 2</w:t>
        </w:r>
      </w:sdtContent>
    </w:sdt>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093C" w14:textId="77777777" w:rsidR="00714A4B" w:rsidRDefault="00714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649F" w14:textId="77777777" w:rsidR="00714A4B" w:rsidRDefault="00714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3F9471F6"/>
    <w:lvl w:ilvl="0">
      <w:start w:val="9"/>
      <w:numFmt w:val="decimal"/>
      <w:lvlText w:val="%1."/>
      <w:lvlJc w:val="left"/>
      <w:pPr>
        <w:ind w:left="1820" w:hanging="720"/>
      </w:pPr>
      <w:rPr>
        <w:rFonts w:ascii="Calibri" w:hAnsi="Calibri" w:cs="Calibri" w:hint="default"/>
        <w:b w:val="0"/>
        <w:bCs w:val="0"/>
        <w:w w:val="99"/>
        <w:sz w:val="26"/>
        <w:szCs w:val="26"/>
      </w:rPr>
    </w:lvl>
    <w:lvl w:ilvl="1">
      <w:start w:val="1"/>
      <w:numFmt w:val="lowerLetter"/>
      <w:lvlText w:val="(%2)"/>
      <w:lvlJc w:val="left"/>
      <w:pPr>
        <w:ind w:left="2540" w:hanging="720"/>
      </w:pPr>
      <w:rPr>
        <w:rFonts w:ascii="Calibri" w:hAnsi="Calibri" w:cs="Calibri" w:hint="default"/>
        <w:b/>
        <w:bCs/>
        <w:w w:val="99"/>
        <w:sz w:val="26"/>
        <w:szCs w:val="26"/>
      </w:rPr>
    </w:lvl>
    <w:lvl w:ilvl="2">
      <w:start w:val="1"/>
      <w:numFmt w:val="decimal"/>
      <w:lvlText w:val="(%3)"/>
      <w:lvlJc w:val="left"/>
      <w:pPr>
        <w:ind w:left="3260" w:hanging="720"/>
      </w:pPr>
      <w:rPr>
        <w:rFonts w:ascii="Calibri" w:hAnsi="Calibri" w:cs="Calibri" w:hint="default"/>
        <w:b w:val="0"/>
        <w:bCs w:val="0"/>
        <w:w w:val="99"/>
        <w:sz w:val="26"/>
        <w:szCs w:val="26"/>
      </w:rPr>
    </w:lvl>
    <w:lvl w:ilvl="3">
      <w:numFmt w:val="bullet"/>
      <w:lvlText w:val=""/>
      <w:lvlJc w:val="left"/>
      <w:pPr>
        <w:ind w:left="3620" w:hanging="360"/>
      </w:pPr>
      <w:rPr>
        <w:rFonts w:ascii="Wingdings" w:hAnsi="Wingdings" w:hint="default"/>
        <w:b w:val="0"/>
        <w:w w:val="99"/>
        <w:sz w:val="26"/>
      </w:rPr>
    </w:lvl>
    <w:lvl w:ilvl="4">
      <w:numFmt w:val="bullet"/>
      <w:lvlText w:val="•"/>
      <w:lvlJc w:val="left"/>
      <w:pPr>
        <w:ind w:left="4737" w:hanging="360"/>
      </w:pPr>
      <w:rPr>
        <w:rFonts w:hint="default"/>
      </w:rPr>
    </w:lvl>
    <w:lvl w:ilvl="5">
      <w:numFmt w:val="bullet"/>
      <w:lvlText w:val="•"/>
      <w:lvlJc w:val="left"/>
      <w:pPr>
        <w:ind w:left="5854" w:hanging="360"/>
      </w:pPr>
      <w:rPr>
        <w:rFonts w:hint="default"/>
      </w:rPr>
    </w:lvl>
    <w:lvl w:ilvl="6">
      <w:numFmt w:val="bullet"/>
      <w:lvlText w:val="•"/>
      <w:lvlJc w:val="left"/>
      <w:pPr>
        <w:ind w:left="6971" w:hanging="360"/>
      </w:pPr>
      <w:rPr>
        <w:rFonts w:hint="default"/>
      </w:rPr>
    </w:lvl>
    <w:lvl w:ilvl="7">
      <w:numFmt w:val="bullet"/>
      <w:lvlText w:val="•"/>
      <w:lvlJc w:val="left"/>
      <w:pPr>
        <w:ind w:left="8088" w:hanging="360"/>
      </w:pPr>
      <w:rPr>
        <w:rFonts w:hint="default"/>
      </w:rPr>
    </w:lvl>
    <w:lvl w:ilvl="8">
      <w:numFmt w:val="bullet"/>
      <w:lvlText w:val="•"/>
      <w:lvlJc w:val="left"/>
      <w:pPr>
        <w:ind w:left="9205" w:hanging="360"/>
      </w:pPr>
      <w:rPr>
        <w:rFonts w:hint="default"/>
      </w:rPr>
    </w:lvl>
  </w:abstractNum>
  <w:abstractNum w:abstractNumId="1" w15:restartNumberingAfterBreak="0">
    <w:nsid w:val="033C3A82"/>
    <w:multiLevelType w:val="hybridMultilevel"/>
    <w:tmpl w:val="7F267A0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4444190B"/>
    <w:multiLevelType w:val="hybridMultilevel"/>
    <w:tmpl w:val="50D42A34"/>
    <w:lvl w:ilvl="0" w:tplc="C46E3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2F"/>
    <w:rsid w:val="00060F27"/>
    <w:rsid w:val="001333C6"/>
    <w:rsid w:val="00325119"/>
    <w:rsid w:val="00427388"/>
    <w:rsid w:val="005676B9"/>
    <w:rsid w:val="006D7D2F"/>
    <w:rsid w:val="00712283"/>
    <w:rsid w:val="00714A4B"/>
    <w:rsid w:val="007F1842"/>
    <w:rsid w:val="00926491"/>
    <w:rsid w:val="009B4DAE"/>
    <w:rsid w:val="009E52DA"/>
    <w:rsid w:val="00A26239"/>
    <w:rsid w:val="00A33894"/>
    <w:rsid w:val="00A94FEF"/>
    <w:rsid w:val="00AB2011"/>
    <w:rsid w:val="00B95E29"/>
    <w:rsid w:val="00BA7BF7"/>
    <w:rsid w:val="00C0578A"/>
    <w:rsid w:val="00CE4766"/>
    <w:rsid w:val="00D34AA2"/>
    <w:rsid w:val="00D42917"/>
    <w:rsid w:val="00D8007A"/>
    <w:rsid w:val="00E95F61"/>
    <w:rsid w:val="00EA1E15"/>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link w:val="Heading2Char"/>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nhideWhenUsed/>
    <w:rsid w:val="001333C6"/>
    <w:rPr>
      <w:color w:val="0000FF"/>
      <w:u w:val="single"/>
    </w:rPr>
  </w:style>
  <w:style w:type="character" w:customStyle="1" w:styleId="Heading5Char">
    <w:name w:val="Heading 5 Char"/>
    <w:basedOn w:val="DefaultParagraphFont"/>
    <w:link w:val="Heading5"/>
    <w:rsid w:val="005676B9"/>
    <w:rPr>
      <w:b/>
      <w:sz w:val="22"/>
      <w:szCs w:val="22"/>
    </w:rPr>
  </w:style>
  <w:style w:type="paragraph" w:styleId="ListParagraph">
    <w:name w:val="List Paragraph"/>
    <w:basedOn w:val="Normal"/>
    <w:uiPriority w:val="34"/>
    <w:qFormat/>
    <w:rsid w:val="005676B9"/>
    <w:pPr>
      <w:ind w:left="720"/>
    </w:pPr>
    <w:rPr>
      <w:sz w:val="26"/>
    </w:rPr>
  </w:style>
  <w:style w:type="character" w:customStyle="1" w:styleId="Heading2Char">
    <w:name w:val="Heading 2 Char"/>
    <w:link w:val="Heading2"/>
    <w:rsid w:val="005676B9"/>
    <w:rPr>
      <w:rFonts w:ascii="Arial" w:eastAsia="Arial" w:hAnsi="Arial" w:cs="Arial"/>
      <w:b/>
      <w:sz w:val="24"/>
      <w:szCs w:val="24"/>
    </w:rPr>
  </w:style>
  <w:style w:type="paragraph" w:customStyle="1" w:styleId="Item1">
    <w:name w:val="Item 1"/>
    <w:basedOn w:val="Normal"/>
    <w:link w:val="Item1Char"/>
    <w:qFormat/>
    <w:rsid w:val="00712283"/>
    <w:pPr>
      <w:tabs>
        <w:tab w:val="num" w:pos="1440"/>
      </w:tabs>
      <w:spacing w:after="240"/>
      <w:ind w:left="2160" w:hanging="720"/>
    </w:pPr>
    <w:rPr>
      <w:rFonts w:ascii="Calibri" w:hAnsi="Calibri" w:cs="Calibri"/>
      <w:sz w:val="26"/>
    </w:rPr>
  </w:style>
  <w:style w:type="paragraph" w:customStyle="1" w:styleId="Itema">
    <w:name w:val="Item a."/>
    <w:basedOn w:val="Normal"/>
    <w:qFormat/>
    <w:rsid w:val="00712283"/>
    <w:pPr>
      <w:tabs>
        <w:tab w:val="num" w:pos="2160"/>
      </w:tabs>
      <w:spacing w:after="240"/>
      <w:ind w:left="2880" w:hanging="720"/>
    </w:pPr>
    <w:rPr>
      <w:rFonts w:ascii="Calibri" w:hAnsi="Calibri" w:cs="Calibri"/>
      <w:sz w:val="26"/>
    </w:rPr>
  </w:style>
  <w:style w:type="character" w:customStyle="1" w:styleId="Item1Char">
    <w:name w:val="Item 1 Char"/>
    <w:link w:val="Item1"/>
    <w:rsid w:val="00712283"/>
    <w:rPr>
      <w:rFonts w:ascii="Calibri" w:hAnsi="Calibri" w:cs="Calibri"/>
      <w:sz w:val="26"/>
    </w:rPr>
  </w:style>
  <w:style w:type="paragraph" w:customStyle="1" w:styleId="Item10">
    <w:name w:val="Item (1)"/>
    <w:basedOn w:val="Itema"/>
    <w:qFormat/>
    <w:rsid w:val="00712283"/>
    <w:pPr>
      <w:tabs>
        <w:tab w:val="clear" w:pos="2160"/>
        <w:tab w:val="num" w:pos="2880"/>
      </w:tabs>
      <w:ind w:left="3600"/>
    </w:pPr>
  </w:style>
  <w:style w:type="paragraph" w:customStyle="1" w:styleId="Itema0">
    <w:name w:val="Item (a)"/>
    <w:basedOn w:val="Item10"/>
    <w:qFormat/>
    <w:rsid w:val="00712283"/>
    <w:pPr>
      <w:tabs>
        <w:tab w:val="clear" w:pos="2880"/>
      </w:tabs>
      <w:ind w:left="4320"/>
    </w:pPr>
  </w:style>
  <w:style w:type="paragraph" w:customStyle="1" w:styleId="Itemi">
    <w:name w:val="Item i."/>
    <w:basedOn w:val="Itema0"/>
    <w:qFormat/>
    <w:rsid w:val="00712283"/>
    <w:pPr>
      <w:tabs>
        <w:tab w:val="num" w:pos="4320"/>
      </w:tabs>
      <w:ind w:left="5040"/>
    </w:pPr>
  </w:style>
  <w:style w:type="paragraph" w:styleId="Header">
    <w:name w:val="header"/>
    <w:basedOn w:val="Normal"/>
    <w:link w:val="HeaderChar"/>
    <w:uiPriority w:val="99"/>
    <w:unhideWhenUsed/>
    <w:rsid w:val="00714A4B"/>
    <w:pPr>
      <w:tabs>
        <w:tab w:val="center" w:pos="4680"/>
        <w:tab w:val="right" w:pos="9360"/>
      </w:tabs>
    </w:pPr>
  </w:style>
  <w:style w:type="character" w:customStyle="1" w:styleId="HeaderChar">
    <w:name w:val="Header Char"/>
    <w:basedOn w:val="DefaultParagraphFont"/>
    <w:link w:val="Header"/>
    <w:uiPriority w:val="99"/>
    <w:rsid w:val="00714A4B"/>
  </w:style>
  <w:style w:type="paragraph" w:styleId="Footer">
    <w:name w:val="footer"/>
    <w:basedOn w:val="Normal"/>
    <w:link w:val="FooterChar"/>
    <w:uiPriority w:val="99"/>
    <w:unhideWhenUsed/>
    <w:rsid w:val="00714A4B"/>
    <w:pPr>
      <w:tabs>
        <w:tab w:val="center" w:pos="4680"/>
        <w:tab w:val="right" w:pos="9360"/>
      </w:tabs>
    </w:pPr>
  </w:style>
  <w:style w:type="character" w:customStyle="1" w:styleId="FooterChar">
    <w:name w:val="Footer Char"/>
    <w:basedOn w:val="DefaultParagraphFont"/>
    <w:link w:val="Footer"/>
    <w:uiPriority w:val="99"/>
    <w:rsid w:val="0071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vid-19.acgov.org/covid19-assets/docs/testing/testing-site-requirements-acphd-2020.03.30.pdf" TargetMode="External"/><Relationship Id="rId4" Type="http://schemas.openxmlformats.org/officeDocument/2006/relationships/settings" Target="settings.xml"/><Relationship Id="rId9" Type="http://schemas.openxmlformats.org/officeDocument/2006/relationships/hyperlink" Target="https://covid-19.acgov.org/covid19-assets/docs/testing/testing-guidance-for-alameda-county-2020.08.17.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DA5A-3044-46D4-8623-66D98949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Hopkins, Lucretia  GSA - Office of Acquisition Policy</cp:lastModifiedBy>
  <cp:revision>2</cp:revision>
  <dcterms:created xsi:type="dcterms:W3CDTF">2021-12-28T16:29:00Z</dcterms:created>
  <dcterms:modified xsi:type="dcterms:W3CDTF">2021-12-28T16:29:00Z</dcterms:modified>
</cp:coreProperties>
</file>