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2CFB6267" w:rsidR="0015259B" w:rsidRPr="00AA2ACB" w:rsidRDefault="0015259B" w:rsidP="0015259B">
      <w:pPr>
        <w:pStyle w:val="Title"/>
        <w:rPr>
          <w:rFonts w:ascii="Avenir Next LT Pro" w:hAnsi="Avenir Next LT Pro" w:cs="Calibri"/>
          <w:sz w:val="24"/>
          <w:szCs w:val="24"/>
        </w:rPr>
      </w:pP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475A63E" w:rsidR="004D242F" w:rsidRPr="003D797B" w:rsidRDefault="004D242F" w:rsidP="004D242F">
      <w:pPr>
        <w:pStyle w:val="Subtitle"/>
        <w:rPr>
          <w:rFonts w:ascii="Calibri" w:hAnsi="Calibri" w:cs="Calibri"/>
          <w:sz w:val="40"/>
          <w:szCs w:val="40"/>
        </w:rPr>
      </w:pPr>
      <w:r w:rsidRPr="003D797B">
        <w:rPr>
          <w:rFonts w:ascii="Calibri" w:hAnsi="Calibri" w:cs="Calibri"/>
          <w:sz w:val="40"/>
          <w:szCs w:val="40"/>
        </w:rPr>
        <w:t>RF</w:t>
      </w:r>
      <w:r w:rsidR="00392870" w:rsidRPr="003D797B">
        <w:rPr>
          <w:rFonts w:ascii="Calibri" w:hAnsi="Calibri" w:cs="Calibri"/>
          <w:sz w:val="40"/>
          <w:szCs w:val="40"/>
        </w:rPr>
        <w:t>P</w:t>
      </w:r>
      <w:r w:rsidRPr="003D797B">
        <w:rPr>
          <w:rFonts w:ascii="Calibri" w:hAnsi="Calibri" w:cs="Calibri"/>
          <w:sz w:val="40"/>
          <w:szCs w:val="40"/>
        </w:rPr>
        <w:t xml:space="preserve"> No. 90</w:t>
      </w:r>
      <w:r w:rsidR="00F7239B" w:rsidRPr="003D797B">
        <w:rPr>
          <w:rFonts w:ascii="Calibri" w:hAnsi="Calibri" w:cs="Calibri"/>
          <w:sz w:val="40"/>
          <w:szCs w:val="40"/>
        </w:rPr>
        <w:t>2215</w:t>
      </w:r>
    </w:p>
    <w:p w14:paraId="76684BAD" w14:textId="77777777" w:rsidR="004D242F" w:rsidRPr="003D797B" w:rsidRDefault="004D242F" w:rsidP="004D242F">
      <w:pPr>
        <w:pStyle w:val="RFP-QHeader2"/>
        <w:rPr>
          <w:rFonts w:ascii="Calibri" w:hAnsi="Calibri" w:cs="Calibri"/>
          <w:sz w:val="20"/>
        </w:rPr>
      </w:pPr>
    </w:p>
    <w:p w14:paraId="1A2C16A0" w14:textId="77777777" w:rsidR="004D242F" w:rsidRPr="003D797B" w:rsidRDefault="004D242F" w:rsidP="004D242F">
      <w:pPr>
        <w:pStyle w:val="Heading3"/>
        <w:rPr>
          <w:rFonts w:ascii="Calibri" w:hAnsi="Calibri" w:cs="Calibri"/>
          <w:sz w:val="40"/>
          <w:szCs w:val="40"/>
        </w:rPr>
      </w:pPr>
      <w:r w:rsidRPr="003D797B">
        <w:rPr>
          <w:rFonts w:ascii="Calibri" w:hAnsi="Calibri" w:cs="Calibri"/>
          <w:sz w:val="40"/>
          <w:szCs w:val="40"/>
        </w:rPr>
        <w:t>for</w:t>
      </w:r>
    </w:p>
    <w:p w14:paraId="286CA575" w14:textId="77777777" w:rsidR="004D242F" w:rsidRPr="003D797B" w:rsidRDefault="004D242F" w:rsidP="004D242F">
      <w:pPr>
        <w:pStyle w:val="RFP-QHeader2"/>
        <w:rPr>
          <w:rFonts w:ascii="Calibri" w:hAnsi="Calibri" w:cs="Calibri"/>
          <w:sz w:val="20"/>
        </w:rPr>
      </w:pPr>
    </w:p>
    <w:p w14:paraId="05300FC2" w14:textId="3150BE84" w:rsidR="004D242F" w:rsidRPr="003D797B" w:rsidRDefault="00751BCB" w:rsidP="00392870">
      <w:pPr>
        <w:pStyle w:val="RFP-QHeader2"/>
        <w:rPr>
          <w:rFonts w:ascii="Calibri" w:hAnsi="Calibri" w:cs="Calibri"/>
          <w:sz w:val="40"/>
          <w:szCs w:val="40"/>
          <w:highlight w:val="yellow"/>
        </w:rPr>
      </w:pPr>
      <w:bookmarkStart w:id="0" w:name="BidTitle"/>
      <w:bookmarkEnd w:id="0"/>
      <w:r w:rsidRPr="003D797B">
        <w:rPr>
          <w:rFonts w:ascii="Calibri" w:hAnsi="Calibri" w:cs="Calibri"/>
          <w:sz w:val="40"/>
          <w:szCs w:val="40"/>
        </w:rPr>
        <w:t>JUVENILE FACILITY FOOD SERVICES</w:t>
      </w:r>
    </w:p>
    <w:p w14:paraId="1FD9350F" w14:textId="77777777" w:rsidR="004D242F" w:rsidRPr="003D797B" w:rsidRDefault="004D242F" w:rsidP="004D242F">
      <w:pPr>
        <w:jc w:val="center"/>
        <w:rPr>
          <w:rFonts w:ascii="Calibri" w:hAnsi="Calibri" w:cs="Calibri"/>
          <w:b/>
          <w:sz w:val="20"/>
        </w:rPr>
      </w:pPr>
    </w:p>
    <w:p w14:paraId="6AD54109" w14:textId="6488DB2E" w:rsidR="004D242F" w:rsidRPr="003D797B" w:rsidRDefault="00461212" w:rsidP="004D242F">
      <w:pPr>
        <w:jc w:val="center"/>
        <w:rPr>
          <w:rFonts w:ascii="Calibri" w:hAnsi="Calibri" w:cs="Calibri"/>
          <w:b/>
          <w:sz w:val="28"/>
          <w:szCs w:val="28"/>
        </w:rPr>
      </w:pPr>
      <w:r w:rsidRPr="003D797B">
        <w:rPr>
          <w:rFonts w:ascii="Calibri" w:hAnsi="Calibri" w:cs="Calibri"/>
          <w:b/>
          <w:sz w:val="28"/>
          <w:szCs w:val="28"/>
        </w:rPr>
        <w:t>Networking/Bidders Conference</w:t>
      </w:r>
      <w:r w:rsidR="004D242F" w:rsidRPr="003D797B">
        <w:rPr>
          <w:rFonts w:ascii="Calibri" w:hAnsi="Calibri" w:cs="Calibri"/>
          <w:b/>
          <w:sz w:val="28"/>
          <w:szCs w:val="28"/>
        </w:rPr>
        <w:t xml:space="preserve"> Held on </w:t>
      </w:r>
      <w:r w:rsidR="00F7239B" w:rsidRPr="003D797B">
        <w:rPr>
          <w:rFonts w:ascii="Calibri" w:hAnsi="Calibri" w:cs="Calibri"/>
          <w:b/>
          <w:sz w:val="28"/>
          <w:szCs w:val="28"/>
        </w:rPr>
        <w:t>January 5,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0A3DC80F"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3D797B">
              <w:rPr>
                <w:rFonts w:ascii="Calibri" w:hAnsi="Calibri" w:cs="Calibri"/>
                <w:b/>
                <w:sz w:val="28"/>
                <w:szCs w:val="28"/>
              </w:rPr>
              <w:t>), RF</w:t>
            </w:r>
            <w:r w:rsidR="00392870" w:rsidRPr="003D797B">
              <w:rPr>
                <w:rFonts w:ascii="Calibri" w:hAnsi="Calibri" w:cs="Calibri"/>
                <w:b/>
                <w:sz w:val="28"/>
                <w:szCs w:val="28"/>
              </w:rPr>
              <w:t>P</w:t>
            </w:r>
            <w:r w:rsidRPr="003D797B">
              <w:rPr>
                <w:rFonts w:ascii="Calibri" w:hAnsi="Calibri" w:cs="Calibri"/>
                <w:b/>
                <w:sz w:val="28"/>
                <w:szCs w:val="28"/>
              </w:rPr>
              <w:t xml:space="preserve"> Questions &amp; Answers (Q&amp;A) has been electronically issued to potential bidders via email. </w:t>
            </w:r>
            <w:r w:rsidR="008723BA" w:rsidRPr="003D797B">
              <w:rPr>
                <w:rFonts w:ascii="Calibri" w:hAnsi="Calibri" w:cs="Calibri"/>
                <w:b/>
                <w:sz w:val="28"/>
                <w:szCs w:val="28"/>
              </w:rPr>
              <w:t>E</w:t>
            </w:r>
            <w:r w:rsidRPr="003D797B">
              <w:rPr>
                <w:rFonts w:ascii="Calibri" w:hAnsi="Calibri" w:cs="Calibri"/>
                <w:b/>
                <w:sz w:val="28"/>
                <w:szCs w:val="28"/>
              </w:rPr>
              <w:t xml:space="preserve">mail </w:t>
            </w:r>
            <w:r w:rsidRPr="00392870">
              <w:rPr>
                <w:rFonts w:ascii="Calibri" w:hAnsi="Calibri" w:cs="Calibri"/>
                <w:b/>
                <w:sz w:val="28"/>
                <w:szCs w:val="28"/>
              </w:rPr>
              <w:t xml:space="preserve">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3D797B">
              <w:rPr>
                <w:rFonts w:ascii="Calibri" w:hAnsi="Calibri" w:cs="Calibri"/>
                <w:b/>
                <w:sz w:val="28"/>
                <w:szCs w:val="28"/>
              </w:rPr>
              <w:t xml:space="preserve">RFP </w:t>
            </w:r>
            <w:r w:rsidRPr="003D797B">
              <w:rPr>
                <w:rFonts w:ascii="Calibri" w:hAnsi="Calibri" w:cs="Calibri"/>
                <w:b/>
                <w:sz w:val="28"/>
                <w:szCs w:val="28"/>
              </w:rPr>
              <w:t>Q</w:t>
            </w:r>
            <w:r w:rsidRPr="00392870">
              <w:rPr>
                <w:rFonts w:ascii="Calibri" w:hAnsi="Calibri" w:cs="Calibri"/>
                <w:b/>
                <w:sz w:val="28"/>
                <w:szCs w:val="28"/>
              </w:rPr>
              <w:t xml:space="preserve">&amp;A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558BF4DE" w:rsidR="00EB4385" w:rsidRPr="00A27277" w:rsidRDefault="00EB4385" w:rsidP="00CD5814">
      <w:pPr>
        <w:spacing w:after="240"/>
        <w:rPr>
          <w:rFonts w:ascii="Calibri" w:hAnsi="Calibri" w:cs="Calibri"/>
          <w:sz w:val="24"/>
          <w:szCs w:val="24"/>
        </w:rPr>
      </w:pPr>
      <w:r w:rsidRPr="00A27277">
        <w:rPr>
          <w:rFonts w:ascii="Calibri" w:hAnsi="Calibri" w:cs="Calibri"/>
          <w:sz w:val="24"/>
          <w:szCs w:val="24"/>
        </w:rPr>
        <w:lastRenderedPageBreak/>
        <w:t>Thank you for your participation and interest in the County of Alameda</w:t>
      </w:r>
      <w:r w:rsidR="00FD5CD9" w:rsidRPr="00A27277">
        <w:rPr>
          <w:rFonts w:ascii="Calibri" w:hAnsi="Calibri" w:cs="Calibri"/>
          <w:sz w:val="24"/>
          <w:szCs w:val="24"/>
        </w:rPr>
        <w:t xml:space="preserve"> Request for Proposal (RFP) for </w:t>
      </w:r>
      <w:r w:rsidR="00F7239B" w:rsidRPr="00A27277">
        <w:rPr>
          <w:rFonts w:ascii="Calibri" w:hAnsi="Calibri" w:cs="Calibri"/>
          <w:sz w:val="24"/>
          <w:szCs w:val="24"/>
        </w:rPr>
        <w:t>Juvenile Facility Food Services</w:t>
      </w:r>
      <w:r w:rsidRPr="00A27277">
        <w:rPr>
          <w:rFonts w:ascii="Calibri" w:hAnsi="Calibri" w:cs="Calibri"/>
          <w:sz w:val="24"/>
          <w:szCs w:val="24"/>
        </w:rPr>
        <w:t xml:space="preserve">.  </w:t>
      </w:r>
    </w:p>
    <w:p w14:paraId="7599B5BF" w14:textId="17C30702" w:rsidR="00EB4385" w:rsidRPr="00A27277" w:rsidRDefault="00EB4385" w:rsidP="0000608E">
      <w:pPr>
        <w:spacing w:after="240"/>
        <w:rPr>
          <w:rFonts w:ascii="Calibri" w:hAnsi="Calibri" w:cs="Calibri"/>
          <w:sz w:val="24"/>
          <w:szCs w:val="24"/>
        </w:rPr>
      </w:pPr>
      <w:r w:rsidRPr="00A27277">
        <w:rPr>
          <w:rFonts w:ascii="Calibri" w:hAnsi="Calibri" w:cs="Calibri"/>
          <w:sz w:val="24"/>
          <w:szCs w:val="24"/>
        </w:rPr>
        <w:t xml:space="preserve">All the questions are </w:t>
      </w:r>
      <w:r w:rsidR="00160400" w:rsidRPr="00A27277">
        <w:rPr>
          <w:rFonts w:ascii="Calibri" w:hAnsi="Calibri" w:cs="Calibri"/>
          <w:sz w:val="24"/>
          <w:szCs w:val="24"/>
        </w:rPr>
        <w:t>taken verbatim</w:t>
      </w:r>
      <w:r w:rsidRPr="00A27277">
        <w:rPr>
          <w:rFonts w:ascii="Calibri" w:hAnsi="Calibri" w:cs="Calibri"/>
          <w:sz w:val="24"/>
          <w:szCs w:val="24"/>
        </w:rPr>
        <w:t xml:space="preserve"> from written questions emailed by </w:t>
      </w:r>
      <w:r w:rsidR="00FD5CD9" w:rsidRPr="00A27277">
        <w:rPr>
          <w:rFonts w:ascii="Calibri" w:hAnsi="Calibri" w:cs="Calibri"/>
          <w:sz w:val="24"/>
          <w:szCs w:val="24"/>
        </w:rPr>
        <w:t xml:space="preserve">potential </w:t>
      </w:r>
      <w:r w:rsidRPr="00A27277">
        <w:rPr>
          <w:rFonts w:ascii="Calibri" w:hAnsi="Calibri" w:cs="Calibri"/>
          <w:sz w:val="24"/>
          <w:szCs w:val="24"/>
        </w:rPr>
        <w:t xml:space="preserve">Bidders. </w:t>
      </w:r>
      <w:r w:rsidR="008723BA" w:rsidRPr="00A27277">
        <w:rPr>
          <w:rFonts w:ascii="Calibri" w:hAnsi="Calibri" w:cs="Calibri"/>
          <w:sz w:val="24"/>
          <w:szCs w:val="24"/>
        </w:rPr>
        <w:t>The County of Alameda shall be noted as “County” in the answers to these questions</w:t>
      </w:r>
      <w:r w:rsidRPr="00A27277">
        <w:rPr>
          <w:rFonts w:ascii="Calibri" w:hAnsi="Calibri" w:cs="Calibri"/>
          <w:sz w:val="24"/>
          <w:szCs w:val="24"/>
        </w:rPr>
        <w:t>. The Questions and Answers are the final stance</w:t>
      </w:r>
      <w:r w:rsidR="008723BA" w:rsidRPr="00A27277">
        <w:rPr>
          <w:rFonts w:ascii="Calibri" w:hAnsi="Calibri" w:cs="Calibri"/>
          <w:sz w:val="24"/>
          <w:szCs w:val="24"/>
        </w:rPr>
        <w:t>s</w:t>
      </w:r>
      <w:r w:rsidRPr="00A27277">
        <w:rPr>
          <w:rFonts w:ascii="Calibri" w:hAnsi="Calibri" w:cs="Calibri"/>
          <w:sz w:val="24"/>
          <w:szCs w:val="24"/>
        </w:rPr>
        <w:t xml:space="preserve"> of the County. Please consider this document in preparation </w:t>
      </w:r>
      <w:r w:rsidR="008723BA" w:rsidRPr="00A27277">
        <w:rPr>
          <w:rFonts w:ascii="Calibri" w:hAnsi="Calibri" w:cs="Calibri"/>
          <w:sz w:val="24"/>
          <w:szCs w:val="24"/>
        </w:rPr>
        <w:t>for</w:t>
      </w:r>
      <w:r w:rsidRPr="00A27277">
        <w:rPr>
          <w:rFonts w:ascii="Calibri" w:hAnsi="Calibri" w:cs="Calibri"/>
          <w:sz w:val="24"/>
          <w:szCs w:val="24"/>
        </w:rPr>
        <w:t xml:space="preserve"> your bid response. </w:t>
      </w:r>
    </w:p>
    <w:p w14:paraId="24DE5580" w14:textId="77777777" w:rsidR="00EB4385" w:rsidRPr="00A27277" w:rsidRDefault="00EB4385" w:rsidP="00EB4385">
      <w:pPr>
        <w:rPr>
          <w:rFonts w:ascii="Calibri" w:hAnsi="Calibri" w:cs="Calibri"/>
          <w:sz w:val="24"/>
          <w:szCs w:val="24"/>
        </w:rPr>
      </w:pPr>
    </w:p>
    <w:p w14:paraId="556E7B61" w14:textId="31446642" w:rsidR="004D242F" w:rsidRPr="00A27277"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sz w:val="24"/>
          <w:szCs w:val="24"/>
        </w:rPr>
      </w:pPr>
      <w:r w:rsidRPr="00A27277">
        <w:rPr>
          <w:rFonts w:ascii="Calibri" w:hAnsi="Calibri" w:cs="Calibri"/>
          <w:b/>
          <w:sz w:val="24"/>
          <w:szCs w:val="24"/>
        </w:rPr>
        <w:t>Questions and Answers:</w:t>
      </w:r>
    </w:p>
    <w:p w14:paraId="0A802CE8" w14:textId="38366193" w:rsidR="004D242F" w:rsidRPr="00A27277" w:rsidRDefault="00D776E2" w:rsidP="00EB4385">
      <w:pPr>
        <w:numPr>
          <w:ilvl w:val="0"/>
          <w:numId w:val="1"/>
        </w:numPr>
        <w:tabs>
          <w:tab w:val="clear" w:pos="1440"/>
        </w:tabs>
        <w:spacing w:after="60"/>
        <w:ind w:left="720" w:hanging="720"/>
        <w:rPr>
          <w:rFonts w:asciiTheme="minorHAnsi" w:hAnsiTheme="minorHAnsi" w:cstheme="minorHAnsi"/>
          <w:b/>
          <w:sz w:val="24"/>
          <w:szCs w:val="24"/>
        </w:rPr>
      </w:pPr>
      <w:r w:rsidRPr="00A27277">
        <w:rPr>
          <w:rFonts w:asciiTheme="minorHAnsi" w:hAnsiTheme="minorHAnsi" w:cstheme="minorHAnsi"/>
          <w:sz w:val="24"/>
          <w:szCs w:val="24"/>
        </w:rPr>
        <w:t>Does the primary contractor and the subcontractor both have to qualify for all the requirements listed on the RFP?</w:t>
      </w:r>
    </w:p>
    <w:p w14:paraId="391F976F" w14:textId="40997401" w:rsidR="004D242F" w:rsidRPr="00A27277" w:rsidRDefault="006C0C5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 w:val="24"/>
          <w:szCs w:val="24"/>
        </w:rPr>
      </w:pPr>
      <w:r w:rsidRPr="00A27277">
        <w:rPr>
          <w:rFonts w:asciiTheme="minorHAnsi" w:hAnsiTheme="minorHAnsi" w:cstheme="minorHAnsi"/>
          <w:b/>
          <w:sz w:val="24"/>
          <w:szCs w:val="24"/>
        </w:rPr>
        <w:t xml:space="preserve">The </w:t>
      </w:r>
      <w:r w:rsidR="00A27277" w:rsidRPr="00A27277">
        <w:rPr>
          <w:rFonts w:asciiTheme="minorHAnsi" w:hAnsiTheme="minorHAnsi" w:cstheme="minorHAnsi"/>
          <w:b/>
          <w:sz w:val="24"/>
          <w:szCs w:val="24"/>
        </w:rPr>
        <w:t xml:space="preserve">Bidder </w:t>
      </w:r>
      <w:r w:rsidRPr="00A27277">
        <w:rPr>
          <w:rFonts w:asciiTheme="minorHAnsi" w:hAnsiTheme="minorHAnsi" w:cstheme="minorHAnsi"/>
          <w:b/>
          <w:sz w:val="24"/>
          <w:szCs w:val="24"/>
        </w:rPr>
        <w:t xml:space="preserve">Minimum Qualifications </w:t>
      </w:r>
      <w:r w:rsidR="00756EEE" w:rsidRPr="00A27277">
        <w:rPr>
          <w:rFonts w:asciiTheme="minorHAnsi" w:hAnsiTheme="minorHAnsi" w:cstheme="minorHAnsi"/>
          <w:b/>
          <w:sz w:val="24"/>
          <w:szCs w:val="24"/>
        </w:rPr>
        <w:t xml:space="preserve">are </w:t>
      </w:r>
      <w:r w:rsidRPr="00A27277">
        <w:rPr>
          <w:rFonts w:asciiTheme="minorHAnsi" w:hAnsiTheme="minorHAnsi" w:cstheme="minorHAnsi"/>
          <w:b/>
          <w:sz w:val="24"/>
          <w:szCs w:val="24"/>
        </w:rPr>
        <w:t>applicable to the Prime Contractor only.</w:t>
      </w:r>
    </w:p>
    <w:p w14:paraId="0C015EA9" w14:textId="2402F8F1" w:rsidR="004D242F" w:rsidRPr="00A27277" w:rsidRDefault="00D776E2" w:rsidP="00EB4385">
      <w:pPr>
        <w:numPr>
          <w:ilvl w:val="0"/>
          <w:numId w:val="1"/>
        </w:numPr>
        <w:tabs>
          <w:tab w:val="clear" w:pos="1440"/>
        </w:tabs>
        <w:spacing w:after="60"/>
        <w:ind w:left="720" w:hanging="720"/>
        <w:rPr>
          <w:rFonts w:asciiTheme="minorHAnsi" w:hAnsiTheme="minorHAnsi" w:cstheme="minorBidi"/>
          <w:b/>
          <w:sz w:val="24"/>
          <w:szCs w:val="24"/>
        </w:rPr>
      </w:pPr>
      <w:r w:rsidRPr="7810E245">
        <w:rPr>
          <w:rFonts w:asciiTheme="minorHAnsi" w:hAnsiTheme="minorHAnsi" w:cstheme="minorBidi"/>
          <w:sz w:val="24"/>
          <w:szCs w:val="24"/>
        </w:rPr>
        <w:t>Does the bidder have to qualify for all m</w:t>
      </w:r>
      <w:r w:rsidR="7EEC5B16" w:rsidRPr="7810E245">
        <w:rPr>
          <w:rFonts w:asciiTheme="minorHAnsi" w:hAnsiTheme="minorHAnsi" w:cstheme="minorBidi"/>
          <w:sz w:val="24"/>
          <w:szCs w:val="24"/>
        </w:rPr>
        <w:t>i</w:t>
      </w:r>
      <w:r w:rsidRPr="7810E245">
        <w:rPr>
          <w:rFonts w:asciiTheme="minorHAnsi" w:hAnsiTheme="minorHAnsi" w:cstheme="minorBidi"/>
          <w:sz w:val="24"/>
          <w:szCs w:val="24"/>
        </w:rPr>
        <w:t>nimum requirements listed on page 5. C. 1. a.  1 2 3 4? We have some experiences listed but not all of them.</w:t>
      </w:r>
    </w:p>
    <w:p w14:paraId="6F8466A9" w14:textId="7FD1008A" w:rsidR="003E1120" w:rsidRDefault="001E416A" w:rsidP="00EB4385">
      <w:pPr>
        <w:numPr>
          <w:ilvl w:val="1"/>
          <w:numId w:val="1"/>
        </w:numPr>
        <w:autoSpaceDE w:val="0"/>
        <w:autoSpaceDN w:val="0"/>
        <w:adjustRightInd w:val="0"/>
        <w:spacing w:after="360"/>
        <w:ind w:left="720" w:hanging="720"/>
        <w:rPr>
          <w:rFonts w:asciiTheme="minorHAnsi" w:hAnsiTheme="minorHAnsi" w:cstheme="minorHAnsi"/>
          <w:b/>
          <w:sz w:val="24"/>
          <w:szCs w:val="24"/>
        </w:rPr>
      </w:pPr>
      <w:r w:rsidRPr="00A27277">
        <w:rPr>
          <w:rFonts w:asciiTheme="minorHAnsi" w:hAnsiTheme="minorHAnsi" w:cstheme="minorHAnsi"/>
          <w:b/>
          <w:sz w:val="24"/>
          <w:szCs w:val="24"/>
        </w:rPr>
        <w:t>Page 5, Section C (</w:t>
      </w:r>
      <w:r w:rsidR="001674A0" w:rsidRPr="00A27277">
        <w:rPr>
          <w:rFonts w:asciiTheme="minorHAnsi" w:hAnsiTheme="minorHAnsi" w:cstheme="minorHAnsi"/>
          <w:b/>
          <w:sz w:val="24"/>
          <w:szCs w:val="24"/>
        </w:rPr>
        <w:t>BIDDER QUALIFICATIONS</w:t>
      </w:r>
      <w:r w:rsidRPr="00A27277">
        <w:rPr>
          <w:rFonts w:asciiTheme="minorHAnsi" w:hAnsiTheme="minorHAnsi" w:cstheme="minorHAnsi"/>
          <w:b/>
          <w:sz w:val="24"/>
          <w:szCs w:val="24"/>
        </w:rPr>
        <w:t xml:space="preserve">), Item 1.a., required that the Bidder must be regularly and continuously engaged for at least three (3) years, verifiable by references, in the business of providing institutional food services where breakfast, lunch, or dinner are served for AT LEAST ONE of the following organizations: (1) Correctional facilities, (2) Hospitals, (3) Educational institutions servicing 200 or more students or staff, (4) organizations employing 200 or more staff, not ALL of the organizations listed. </w:t>
      </w:r>
    </w:p>
    <w:p w14:paraId="2E135BEB" w14:textId="444BA2D6" w:rsidR="004D242F" w:rsidRPr="00A27277" w:rsidRDefault="00437541" w:rsidP="003E1120">
      <w:pPr>
        <w:autoSpaceDE w:val="0"/>
        <w:autoSpaceDN w:val="0"/>
        <w:adjustRightInd w:val="0"/>
        <w:spacing w:after="360"/>
        <w:ind w:left="720"/>
        <w:rPr>
          <w:rFonts w:asciiTheme="minorHAnsi" w:hAnsiTheme="minorHAnsi" w:cstheme="minorHAnsi"/>
          <w:b/>
          <w:sz w:val="24"/>
          <w:szCs w:val="24"/>
        </w:rPr>
      </w:pPr>
      <w:r w:rsidRPr="00A27277">
        <w:rPr>
          <w:rFonts w:asciiTheme="minorHAnsi" w:hAnsiTheme="minorHAnsi" w:cstheme="minorHAnsi"/>
          <w:b/>
          <w:sz w:val="24"/>
          <w:szCs w:val="24"/>
        </w:rPr>
        <w:t xml:space="preserve">Page 26 of the RFP, Section </w:t>
      </w:r>
      <w:r w:rsidR="006E29B8" w:rsidRPr="00A27277">
        <w:rPr>
          <w:rFonts w:asciiTheme="minorHAnsi" w:hAnsiTheme="minorHAnsi" w:cstheme="minorHAnsi"/>
          <w:b/>
          <w:sz w:val="24"/>
          <w:szCs w:val="24"/>
        </w:rPr>
        <w:t>H</w:t>
      </w:r>
      <w:r w:rsidRPr="00A27277">
        <w:rPr>
          <w:rFonts w:asciiTheme="minorHAnsi" w:hAnsiTheme="minorHAnsi" w:cstheme="minorHAnsi"/>
          <w:b/>
          <w:sz w:val="24"/>
          <w:szCs w:val="24"/>
        </w:rPr>
        <w:t xml:space="preserve"> (</w:t>
      </w:r>
      <w:r w:rsidR="006E29B8" w:rsidRPr="00A27277">
        <w:rPr>
          <w:rFonts w:asciiTheme="minorHAnsi" w:hAnsiTheme="minorHAnsi" w:cstheme="minorHAnsi"/>
          <w:b/>
          <w:sz w:val="24"/>
          <w:szCs w:val="24"/>
        </w:rPr>
        <w:t>EVALUATION CRITERIA / SELECTION COMMITTEE</w:t>
      </w:r>
      <w:r w:rsidRPr="00A27277">
        <w:rPr>
          <w:rFonts w:asciiTheme="minorHAnsi" w:hAnsiTheme="minorHAnsi" w:cstheme="minorHAnsi"/>
          <w:b/>
          <w:sz w:val="24"/>
          <w:szCs w:val="24"/>
        </w:rPr>
        <w:t xml:space="preserve">), Item </w:t>
      </w:r>
      <w:r w:rsidR="006E29B8" w:rsidRPr="00A27277">
        <w:rPr>
          <w:rFonts w:asciiTheme="minorHAnsi" w:hAnsiTheme="minorHAnsi" w:cstheme="minorHAnsi"/>
          <w:b/>
          <w:sz w:val="24"/>
          <w:szCs w:val="24"/>
        </w:rPr>
        <w:t>13.</w:t>
      </w:r>
      <w:r w:rsidRPr="00A27277">
        <w:rPr>
          <w:rFonts w:asciiTheme="minorHAnsi" w:hAnsiTheme="minorHAnsi" w:cstheme="minorHAnsi"/>
          <w:b/>
          <w:sz w:val="24"/>
          <w:szCs w:val="24"/>
        </w:rPr>
        <w:t>(</w:t>
      </w:r>
      <w:r w:rsidR="006E29B8" w:rsidRPr="00A27277">
        <w:rPr>
          <w:rFonts w:asciiTheme="minorHAnsi" w:hAnsiTheme="minorHAnsi" w:cstheme="minorHAnsi"/>
          <w:b/>
          <w:sz w:val="24"/>
          <w:szCs w:val="24"/>
        </w:rPr>
        <w:t>A</w:t>
      </w:r>
      <w:r w:rsidRPr="00A27277">
        <w:rPr>
          <w:rFonts w:asciiTheme="minorHAnsi" w:hAnsiTheme="minorHAnsi" w:cstheme="minorHAnsi"/>
          <w:b/>
          <w:sz w:val="24"/>
          <w:szCs w:val="24"/>
        </w:rPr>
        <w:t xml:space="preserve">), </w:t>
      </w:r>
      <w:r w:rsidR="001E416A" w:rsidRPr="00A27277">
        <w:rPr>
          <w:rFonts w:asciiTheme="minorHAnsi" w:hAnsiTheme="minorHAnsi" w:cstheme="minorHAnsi"/>
          <w:b/>
          <w:sz w:val="24"/>
          <w:szCs w:val="24"/>
        </w:rPr>
        <w:t xml:space="preserve">also </w:t>
      </w:r>
      <w:r w:rsidRPr="00A27277">
        <w:rPr>
          <w:rFonts w:asciiTheme="minorHAnsi" w:hAnsiTheme="minorHAnsi" w:cstheme="minorHAnsi"/>
          <w:b/>
          <w:sz w:val="24"/>
          <w:szCs w:val="24"/>
        </w:rPr>
        <w:t>stated</w:t>
      </w:r>
      <w:r w:rsidR="006E29B8" w:rsidRPr="00A27277">
        <w:rPr>
          <w:rFonts w:asciiTheme="minorHAnsi" w:hAnsiTheme="minorHAnsi" w:cstheme="minorHAnsi"/>
          <w:b/>
          <w:sz w:val="24"/>
          <w:szCs w:val="24"/>
        </w:rPr>
        <w:t xml:space="preserve">: </w:t>
      </w:r>
    </w:p>
    <w:p w14:paraId="4E04E586" w14:textId="5FFF765D" w:rsidR="006E29B8" w:rsidRPr="00A27277" w:rsidRDefault="006E29B8" w:rsidP="006F6EE7">
      <w:pPr>
        <w:pStyle w:val="ListParagraph"/>
        <w:spacing w:after="120"/>
        <w:contextualSpacing w:val="0"/>
        <w:rPr>
          <w:rFonts w:ascii="Calibri" w:hAnsi="Calibri" w:cs="Calibri"/>
          <w:b/>
          <w:sz w:val="24"/>
          <w:szCs w:val="24"/>
        </w:rPr>
      </w:pPr>
      <w:r w:rsidRPr="00A27277">
        <w:rPr>
          <w:rFonts w:ascii="Calibri" w:hAnsi="Calibri" w:cs="Calibri"/>
          <w:b/>
          <w:sz w:val="24"/>
          <w:szCs w:val="24"/>
        </w:rPr>
        <w:t>Completeness of Response:</w:t>
      </w:r>
    </w:p>
    <w:p w14:paraId="5A990263" w14:textId="55D35A86" w:rsidR="006E29B8" w:rsidRPr="00A27277" w:rsidRDefault="006E29B8" w:rsidP="006E29B8">
      <w:pPr>
        <w:pStyle w:val="ListParagraph"/>
        <w:autoSpaceDE w:val="0"/>
        <w:autoSpaceDN w:val="0"/>
        <w:adjustRightInd w:val="0"/>
        <w:spacing w:after="360"/>
        <w:rPr>
          <w:rFonts w:cstheme="minorHAnsi"/>
          <w:b/>
          <w:bCs/>
          <w:sz w:val="24"/>
          <w:szCs w:val="24"/>
        </w:rPr>
      </w:pPr>
      <w:r w:rsidRPr="00A27277">
        <w:rPr>
          <w:rFonts w:ascii="Calibri" w:hAnsi="Calibri" w:cs="Calibri"/>
          <w:b/>
          <w:bCs/>
          <w:sz w:val="24"/>
          <w:szCs w:val="24"/>
        </w:rPr>
        <w:t>Responses to this RFP must be complete.  Responses must address all the requirements identified within this RFP and all related documents, including any Addenda. Failure to meet the Bidder Minimum Qualifications may also be considered an incomplete response and may result in the disqualification of the Bidder.</w:t>
      </w:r>
    </w:p>
    <w:p w14:paraId="37BA13B3" w14:textId="4BECAEED" w:rsidR="004D242F" w:rsidRPr="00A27277" w:rsidRDefault="00D776E2" w:rsidP="00D776E2">
      <w:pPr>
        <w:numPr>
          <w:ilvl w:val="0"/>
          <w:numId w:val="1"/>
        </w:numPr>
        <w:tabs>
          <w:tab w:val="clear" w:pos="1440"/>
        </w:tabs>
        <w:spacing w:after="60"/>
        <w:ind w:left="720" w:hanging="720"/>
        <w:rPr>
          <w:rFonts w:asciiTheme="minorHAnsi" w:hAnsiTheme="minorHAnsi" w:cstheme="minorHAnsi"/>
          <w:b/>
          <w:sz w:val="24"/>
          <w:szCs w:val="24"/>
        </w:rPr>
      </w:pPr>
      <w:r w:rsidRPr="00A27277">
        <w:rPr>
          <w:rFonts w:asciiTheme="minorHAnsi" w:hAnsiTheme="minorHAnsi" w:cstheme="minorHAnsi"/>
          <w:sz w:val="24"/>
          <w:szCs w:val="24"/>
        </w:rPr>
        <w:t>Does the packaging of the individually packaged meals need to be oven safe? Or is microwavable enough?</w:t>
      </w:r>
    </w:p>
    <w:p w14:paraId="271AA189" w14:textId="39687D5E" w:rsidR="004D242F" w:rsidRPr="00A27277" w:rsidRDefault="00C55239" w:rsidP="00EB4385">
      <w:pPr>
        <w:numPr>
          <w:ilvl w:val="1"/>
          <w:numId w:val="1"/>
        </w:numPr>
        <w:autoSpaceDE w:val="0"/>
        <w:autoSpaceDN w:val="0"/>
        <w:adjustRightInd w:val="0"/>
        <w:spacing w:after="360"/>
        <w:ind w:left="720" w:hanging="720"/>
        <w:rPr>
          <w:rFonts w:asciiTheme="minorHAnsi" w:hAnsiTheme="minorHAnsi" w:cstheme="minorHAnsi"/>
          <w:b/>
          <w:bCs/>
          <w:sz w:val="24"/>
          <w:szCs w:val="24"/>
        </w:rPr>
      </w:pPr>
      <w:r w:rsidRPr="00A27277">
        <w:rPr>
          <w:rFonts w:asciiTheme="minorHAnsi" w:hAnsiTheme="minorHAnsi" w:cstheme="minorHAnsi"/>
          <w:b/>
          <w:bCs/>
          <w:sz w:val="24"/>
          <w:szCs w:val="24"/>
        </w:rPr>
        <w:t>The packaging needs to withstand reheating in a rethermalization oven on site.</w:t>
      </w:r>
    </w:p>
    <w:p w14:paraId="43B3BAF1" w14:textId="566AC507" w:rsidR="004D242F" w:rsidRPr="00A27277" w:rsidRDefault="00D776E2" w:rsidP="00EB4385">
      <w:pPr>
        <w:numPr>
          <w:ilvl w:val="0"/>
          <w:numId w:val="1"/>
        </w:numPr>
        <w:tabs>
          <w:tab w:val="clear" w:pos="1440"/>
        </w:tabs>
        <w:spacing w:after="60"/>
        <w:ind w:left="720" w:hanging="720"/>
        <w:rPr>
          <w:rFonts w:asciiTheme="minorHAnsi" w:hAnsiTheme="minorHAnsi" w:cstheme="minorHAnsi"/>
          <w:b/>
          <w:sz w:val="24"/>
          <w:szCs w:val="24"/>
        </w:rPr>
      </w:pPr>
      <w:r w:rsidRPr="00A27277">
        <w:rPr>
          <w:rFonts w:asciiTheme="minorHAnsi" w:hAnsiTheme="minorHAnsi" w:cstheme="minorHAnsi"/>
          <w:sz w:val="24"/>
          <w:szCs w:val="24"/>
        </w:rPr>
        <w:t>Is there a description/resource for what is required in a bag lunch and snack?</w:t>
      </w:r>
    </w:p>
    <w:p w14:paraId="3A876A5B" w14:textId="0F8BB588" w:rsidR="006E29B8" w:rsidRPr="00A27277" w:rsidRDefault="006E29B8" w:rsidP="006E29B8">
      <w:pPr>
        <w:numPr>
          <w:ilvl w:val="1"/>
          <w:numId w:val="1"/>
        </w:numPr>
        <w:autoSpaceDE w:val="0"/>
        <w:autoSpaceDN w:val="0"/>
        <w:adjustRightInd w:val="0"/>
        <w:spacing w:after="360"/>
        <w:ind w:left="720" w:hanging="720"/>
        <w:rPr>
          <w:rFonts w:asciiTheme="minorHAnsi" w:hAnsiTheme="minorHAnsi" w:cstheme="minorHAnsi"/>
          <w:b/>
          <w:sz w:val="24"/>
          <w:szCs w:val="24"/>
        </w:rPr>
      </w:pPr>
      <w:r w:rsidRPr="00A27277">
        <w:rPr>
          <w:rFonts w:asciiTheme="minorHAnsi" w:hAnsiTheme="minorHAnsi" w:cstheme="minorHAnsi"/>
          <w:b/>
          <w:sz w:val="24"/>
          <w:szCs w:val="24"/>
        </w:rPr>
        <w:t xml:space="preserve">Pages 6-7 of the RFP, Section D (SPECIFIC REQUIREMENTS), Item 1.(e), stated: </w:t>
      </w:r>
    </w:p>
    <w:p w14:paraId="3F65EEA2" w14:textId="77777777" w:rsidR="00C22EFA" w:rsidRPr="00A27277" w:rsidRDefault="00C22EFA" w:rsidP="00C22EFA">
      <w:pPr>
        <w:widowControl w:val="0"/>
        <w:autoSpaceDE w:val="0"/>
        <w:autoSpaceDN w:val="0"/>
        <w:spacing w:after="240"/>
        <w:ind w:left="720"/>
        <w:jc w:val="both"/>
        <w:rPr>
          <w:rFonts w:asciiTheme="minorHAnsi" w:hAnsiTheme="minorHAnsi" w:cstheme="minorHAnsi"/>
          <w:b/>
          <w:bCs/>
          <w:sz w:val="24"/>
          <w:szCs w:val="24"/>
        </w:rPr>
      </w:pPr>
      <w:r w:rsidRPr="00A27277">
        <w:rPr>
          <w:rFonts w:asciiTheme="minorHAnsi" w:hAnsiTheme="minorHAnsi" w:cstheme="minorHAnsi"/>
          <w:b/>
          <w:bCs/>
          <w:sz w:val="24"/>
          <w:szCs w:val="24"/>
        </w:rPr>
        <w:lastRenderedPageBreak/>
        <w:t>Contractor</w:t>
      </w:r>
      <w:r w:rsidRPr="00A27277">
        <w:rPr>
          <w:rFonts w:asciiTheme="minorHAnsi" w:hAnsiTheme="minorHAnsi" w:cstheme="minorHAnsi"/>
          <w:b/>
          <w:bCs/>
          <w:spacing w:val="-5"/>
          <w:sz w:val="24"/>
          <w:szCs w:val="24"/>
        </w:rPr>
        <w:t xml:space="preserve"> </w:t>
      </w:r>
      <w:r w:rsidRPr="00A27277">
        <w:rPr>
          <w:rFonts w:asciiTheme="minorHAnsi" w:hAnsiTheme="minorHAnsi" w:cstheme="minorHAnsi"/>
          <w:b/>
          <w:bCs/>
          <w:sz w:val="24"/>
          <w:szCs w:val="24"/>
        </w:rPr>
        <w:t>must</w:t>
      </w:r>
      <w:r w:rsidRPr="00A27277">
        <w:rPr>
          <w:rFonts w:asciiTheme="minorHAnsi" w:hAnsiTheme="minorHAnsi" w:cstheme="minorHAnsi"/>
          <w:b/>
          <w:bCs/>
          <w:spacing w:val="-7"/>
          <w:sz w:val="24"/>
          <w:szCs w:val="24"/>
        </w:rPr>
        <w:t xml:space="preserve"> </w:t>
      </w:r>
      <w:r w:rsidRPr="00A27277">
        <w:rPr>
          <w:rFonts w:asciiTheme="minorHAnsi" w:hAnsiTheme="minorHAnsi" w:cstheme="minorHAnsi"/>
          <w:b/>
          <w:bCs/>
          <w:sz w:val="24"/>
          <w:szCs w:val="24"/>
        </w:rPr>
        <w:t>provide</w:t>
      </w:r>
      <w:r w:rsidRPr="00A27277">
        <w:rPr>
          <w:rFonts w:asciiTheme="minorHAnsi" w:hAnsiTheme="minorHAnsi" w:cstheme="minorHAnsi"/>
          <w:b/>
          <w:bCs/>
          <w:spacing w:val="-7"/>
          <w:sz w:val="24"/>
          <w:szCs w:val="24"/>
        </w:rPr>
        <w:t xml:space="preserve"> </w:t>
      </w:r>
      <w:r w:rsidRPr="00A27277">
        <w:rPr>
          <w:rFonts w:asciiTheme="minorHAnsi" w:hAnsiTheme="minorHAnsi" w:cstheme="minorHAnsi"/>
          <w:b/>
          <w:bCs/>
          <w:sz w:val="24"/>
          <w:szCs w:val="24"/>
        </w:rPr>
        <w:t>nutritionally</w:t>
      </w:r>
      <w:r w:rsidRPr="00A27277">
        <w:rPr>
          <w:rFonts w:asciiTheme="minorHAnsi" w:hAnsiTheme="minorHAnsi" w:cstheme="minorHAnsi"/>
          <w:b/>
          <w:bCs/>
          <w:spacing w:val="-7"/>
          <w:sz w:val="24"/>
          <w:szCs w:val="24"/>
        </w:rPr>
        <w:t xml:space="preserve"> </w:t>
      </w:r>
      <w:r w:rsidRPr="00A27277">
        <w:rPr>
          <w:rFonts w:asciiTheme="minorHAnsi" w:hAnsiTheme="minorHAnsi" w:cstheme="minorHAnsi"/>
          <w:b/>
          <w:bCs/>
          <w:sz w:val="24"/>
          <w:szCs w:val="24"/>
        </w:rPr>
        <w:t>sound,</w:t>
      </w:r>
      <w:r w:rsidRPr="00A27277">
        <w:rPr>
          <w:rFonts w:asciiTheme="minorHAnsi" w:hAnsiTheme="minorHAnsi" w:cstheme="minorHAnsi"/>
          <w:b/>
          <w:bCs/>
          <w:spacing w:val="-7"/>
          <w:sz w:val="24"/>
          <w:szCs w:val="24"/>
        </w:rPr>
        <w:t xml:space="preserve"> </w:t>
      </w:r>
      <w:r w:rsidRPr="00A27277">
        <w:rPr>
          <w:rFonts w:asciiTheme="minorHAnsi" w:hAnsiTheme="minorHAnsi" w:cstheme="minorHAnsi"/>
          <w:b/>
          <w:bCs/>
          <w:sz w:val="24"/>
          <w:szCs w:val="24"/>
        </w:rPr>
        <w:t>varied,</w:t>
      </w:r>
      <w:r w:rsidRPr="00A27277">
        <w:rPr>
          <w:rFonts w:asciiTheme="minorHAnsi" w:hAnsiTheme="minorHAnsi" w:cstheme="minorHAnsi"/>
          <w:b/>
          <w:bCs/>
          <w:spacing w:val="-5"/>
          <w:sz w:val="24"/>
          <w:szCs w:val="24"/>
        </w:rPr>
        <w:t xml:space="preserve"> </w:t>
      </w:r>
      <w:r w:rsidRPr="00A27277">
        <w:rPr>
          <w:rFonts w:asciiTheme="minorHAnsi" w:hAnsiTheme="minorHAnsi" w:cstheme="minorHAnsi"/>
          <w:b/>
          <w:bCs/>
          <w:sz w:val="24"/>
          <w:szCs w:val="24"/>
        </w:rPr>
        <w:t>and</w:t>
      </w:r>
      <w:r w:rsidRPr="00A27277">
        <w:rPr>
          <w:rFonts w:asciiTheme="minorHAnsi" w:hAnsiTheme="minorHAnsi" w:cstheme="minorHAnsi"/>
          <w:b/>
          <w:bCs/>
          <w:spacing w:val="-7"/>
          <w:sz w:val="24"/>
          <w:szCs w:val="24"/>
        </w:rPr>
        <w:t xml:space="preserve"> </w:t>
      </w:r>
      <w:r w:rsidRPr="00A27277">
        <w:rPr>
          <w:rFonts w:asciiTheme="minorHAnsi" w:hAnsiTheme="minorHAnsi" w:cstheme="minorHAnsi"/>
          <w:b/>
          <w:bCs/>
          <w:sz w:val="24"/>
          <w:szCs w:val="24"/>
        </w:rPr>
        <w:t>aesthetically pleasing meals in accordance with the requirements of the following regulations, rules, and standards:</w:t>
      </w:r>
    </w:p>
    <w:p w14:paraId="44809F3C" w14:textId="77777777" w:rsidR="00C22EFA" w:rsidRPr="00A27277" w:rsidRDefault="00C22EFA" w:rsidP="00C22EFA">
      <w:pPr>
        <w:pStyle w:val="ListParagraph"/>
        <w:widowControl w:val="0"/>
        <w:numPr>
          <w:ilvl w:val="4"/>
          <w:numId w:val="4"/>
        </w:numPr>
        <w:autoSpaceDE w:val="0"/>
        <w:autoSpaceDN w:val="0"/>
        <w:spacing w:after="240" w:line="240" w:lineRule="auto"/>
        <w:ind w:hanging="450"/>
        <w:contextualSpacing w:val="0"/>
        <w:rPr>
          <w:rFonts w:cstheme="minorHAnsi"/>
          <w:b/>
          <w:bCs/>
          <w:sz w:val="24"/>
          <w:szCs w:val="24"/>
        </w:rPr>
      </w:pPr>
      <w:r w:rsidRPr="00A27277">
        <w:rPr>
          <w:rFonts w:cstheme="minorHAnsi"/>
          <w:b/>
          <w:bCs/>
          <w:sz w:val="24"/>
          <w:szCs w:val="24"/>
        </w:rPr>
        <w:t xml:space="preserve">Food standards found in </w:t>
      </w:r>
      <w:bookmarkStart w:id="1" w:name="_Hlk119923567"/>
      <w:r w:rsidRPr="00A27277">
        <w:rPr>
          <w:rFonts w:cstheme="minorHAnsi"/>
          <w:b/>
          <w:bCs/>
          <w:sz w:val="24"/>
          <w:szCs w:val="24"/>
        </w:rPr>
        <w:t xml:space="preserve">State of California Board of State and Community Corrections (BSCC) </w:t>
      </w:r>
      <w:bookmarkEnd w:id="1"/>
      <w:r w:rsidRPr="00A27277">
        <w:rPr>
          <w:rFonts w:cstheme="minorHAnsi"/>
          <w:b/>
          <w:bCs/>
          <w:sz w:val="24"/>
          <w:szCs w:val="24"/>
        </w:rPr>
        <w:t>compliance, California Code of Regulations</w:t>
      </w:r>
      <w:r w:rsidRPr="00A27277">
        <w:rPr>
          <w:rFonts w:cstheme="minorHAnsi"/>
          <w:b/>
          <w:bCs/>
          <w:spacing w:val="-3"/>
          <w:sz w:val="24"/>
          <w:szCs w:val="24"/>
        </w:rPr>
        <w:t xml:space="preserve"> </w:t>
      </w:r>
      <w:r w:rsidRPr="00A27277">
        <w:rPr>
          <w:rFonts w:cstheme="minorHAnsi"/>
          <w:b/>
          <w:bCs/>
          <w:sz w:val="24"/>
          <w:szCs w:val="24"/>
        </w:rPr>
        <w:t>(CCR),</w:t>
      </w:r>
      <w:r w:rsidRPr="00A27277">
        <w:rPr>
          <w:rFonts w:cstheme="minorHAnsi"/>
          <w:b/>
          <w:bCs/>
          <w:spacing w:val="-4"/>
          <w:sz w:val="24"/>
          <w:szCs w:val="24"/>
        </w:rPr>
        <w:t xml:space="preserve"> </w:t>
      </w:r>
      <w:hyperlink w:anchor="ExhibitD">
        <w:r w:rsidRPr="00A27277">
          <w:rPr>
            <w:rFonts w:ascii="Calibri" w:eastAsia="Calibri" w:hAnsi="Calibri" w:cs="Calibri"/>
            <w:b/>
            <w:bCs/>
            <w:color w:val="0000FF"/>
            <w:sz w:val="24"/>
            <w:szCs w:val="24"/>
            <w:u w:val="single" w:color="0000FF"/>
          </w:rPr>
          <w:t>Title 15 Article 9</w:t>
        </w:r>
      </w:hyperlink>
      <w:r w:rsidRPr="00A27277">
        <w:rPr>
          <w:rFonts w:cstheme="minorHAnsi"/>
          <w:b/>
          <w:bCs/>
          <w:sz w:val="24"/>
          <w:szCs w:val="24"/>
        </w:rPr>
        <w:t xml:space="preserve"> (see</w:t>
      </w:r>
      <w:r w:rsidRPr="00A27277">
        <w:rPr>
          <w:rFonts w:cstheme="minorHAnsi"/>
          <w:b/>
          <w:bCs/>
          <w:spacing w:val="-5"/>
          <w:sz w:val="24"/>
          <w:szCs w:val="24"/>
        </w:rPr>
        <w:t xml:space="preserve"> Exhibit D.3</w:t>
      </w:r>
      <w:r w:rsidRPr="00A27277">
        <w:rPr>
          <w:rFonts w:cstheme="minorHAnsi"/>
          <w:b/>
          <w:bCs/>
          <w:sz w:val="24"/>
          <w:szCs w:val="24"/>
        </w:rPr>
        <w:t>);</w:t>
      </w:r>
    </w:p>
    <w:p w14:paraId="1569873B" w14:textId="77777777" w:rsidR="00C22EFA" w:rsidRPr="00A27277" w:rsidRDefault="00000000" w:rsidP="005D2171">
      <w:pPr>
        <w:pStyle w:val="ListParagraph"/>
        <w:widowControl w:val="0"/>
        <w:numPr>
          <w:ilvl w:val="4"/>
          <w:numId w:val="4"/>
        </w:numPr>
        <w:autoSpaceDE w:val="0"/>
        <w:autoSpaceDN w:val="0"/>
        <w:spacing w:after="240" w:line="240" w:lineRule="auto"/>
        <w:ind w:hanging="450"/>
        <w:contextualSpacing w:val="0"/>
        <w:rPr>
          <w:rFonts w:cstheme="minorHAnsi"/>
          <w:b/>
          <w:bCs/>
          <w:sz w:val="24"/>
          <w:szCs w:val="24"/>
        </w:rPr>
      </w:pPr>
      <w:hyperlink w:anchor="ExhibitD" w:history="1">
        <w:r w:rsidR="00C22EFA" w:rsidRPr="00A27277">
          <w:rPr>
            <w:rStyle w:val="Hyperlink"/>
            <w:rFonts w:ascii="Calibri" w:eastAsia="Calibri" w:hAnsi="Calibri" w:cs="Calibri"/>
            <w:b/>
            <w:bCs/>
            <w:sz w:val="24"/>
            <w:szCs w:val="24"/>
          </w:rPr>
          <w:t>Alameda County Nutrition and Physical Activity Policy</w:t>
        </w:r>
      </w:hyperlink>
      <w:r w:rsidR="00C22EFA" w:rsidRPr="00A27277">
        <w:rPr>
          <w:rFonts w:cstheme="minorHAnsi"/>
          <w:b/>
          <w:bCs/>
          <w:sz w:val="24"/>
          <w:szCs w:val="24"/>
        </w:rPr>
        <w:t xml:space="preserve"> Implementation</w:t>
      </w:r>
      <w:r w:rsidR="00C22EFA" w:rsidRPr="00A27277">
        <w:rPr>
          <w:rFonts w:cstheme="minorHAnsi"/>
          <w:b/>
          <w:bCs/>
          <w:spacing w:val="-4"/>
          <w:sz w:val="24"/>
          <w:szCs w:val="24"/>
        </w:rPr>
        <w:t xml:space="preserve"> </w:t>
      </w:r>
      <w:r w:rsidR="00C22EFA" w:rsidRPr="00A27277">
        <w:rPr>
          <w:rFonts w:cstheme="minorHAnsi"/>
          <w:b/>
          <w:bCs/>
          <w:sz w:val="24"/>
          <w:szCs w:val="24"/>
        </w:rPr>
        <w:t>Resource</w:t>
      </w:r>
      <w:r w:rsidR="00C22EFA" w:rsidRPr="00A27277">
        <w:rPr>
          <w:rFonts w:cstheme="minorHAnsi"/>
          <w:b/>
          <w:bCs/>
          <w:spacing w:val="-5"/>
          <w:sz w:val="24"/>
          <w:szCs w:val="24"/>
        </w:rPr>
        <w:t xml:space="preserve"> </w:t>
      </w:r>
      <w:r w:rsidR="00C22EFA" w:rsidRPr="00A27277">
        <w:rPr>
          <w:rFonts w:cstheme="minorHAnsi"/>
          <w:b/>
          <w:bCs/>
          <w:sz w:val="24"/>
          <w:szCs w:val="24"/>
        </w:rPr>
        <w:t>(see</w:t>
      </w:r>
      <w:r w:rsidR="00C22EFA" w:rsidRPr="00A27277">
        <w:rPr>
          <w:rFonts w:cstheme="minorHAnsi"/>
          <w:b/>
          <w:bCs/>
          <w:spacing w:val="-6"/>
          <w:sz w:val="24"/>
          <w:szCs w:val="24"/>
        </w:rPr>
        <w:t xml:space="preserve"> </w:t>
      </w:r>
      <w:r w:rsidR="00C22EFA" w:rsidRPr="00A27277">
        <w:rPr>
          <w:rFonts w:cstheme="minorHAnsi"/>
          <w:b/>
          <w:bCs/>
          <w:sz w:val="24"/>
          <w:szCs w:val="24"/>
        </w:rPr>
        <w:t>Exhibit D.4); and</w:t>
      </w:r>
    </w:p>
    <w:p w14:paraId="251DF04B" w14:textId="74D65045" w:rsidR="00B94E07" w:rsidRPr="00A27277" w:rsidRDefault="00C22EFA" w:rsidP="005D2171">
      <w:pPr>
        <w:pStyle w:val="ListParagraph"/>
        <w:widowControl w:val="0"/>
        <w:numPr>
          <w:ilvl w:val="4"/>
          <w:numId w:val="4"/>
        </w:numPr>
        <w:autoSpaceDE w:val="0"/>
        <w:autoSpaceDN w:val="0"/>
        <w:spacing w:after="240" w:line="240" w:lineRule="auto"/>
        <w:ind w:hanging="450"/>
        <w:contextualSpacing w:val="0"/>
        <w:rPr>
          <w:b/>
          <w:bCs/>
          <w:sz w:val="24"/>
          <w:szCs w:val="24"/>
        </w:rPr>
      </w:pPr>
      <w:r w:rsidRPr="00A27277">
        <w:rPr>
          <w:rFonts w:cstheme="minorHAnsi"/>
          <w:b/>
          <w:bCs/>
          <w:sz w:val="24"/>
          <w:szCs w:val="24"/>
        </w:rPr>
        <w:t>California Education Code, Article 2.5. The Pupil Nutrition, Health, and</w:t>
      </w:r>
      <w:r w:rsidRPr="00A27277">
        <w:rPr>
          <w:rFonts w:cstheme="minorHAnsi"/>
          <w:b/>
          <w:bCs/>
          <w:spacing w:val="-6"/>
          <w:sz w:val="24"/>
          <w:szCs w:val="24"/>
        </w:rPr>
        <w:t xml:space="preserve"> </w:t>
      </w:r>
      <w:r w:rsidRPr="00A27277">
        <w:rPr>
          <w:rFonts w:cstheme="minorHAnsi"/>
          <w:b/>
          <w:bCs/>
          <w:sz w:val="24"/>
          <w:szCs w:val="24"/>
        </w:rPr>
        <w:t>Achievement</w:t>
      </w:r>
      <w:r w:rsidRPr="00A27277">
        <w:rPr>
          <w:rFonts w:cstheme="minorHAnsi"/>
          <w:b/>
          <w:bCs/>
          <w:spacing w:val="-4"/>
          <w:sz w:val="24"/>
          <w:szCs w:val="24"/>
        </w:rPr>
        <w:t xml:space="preserve"> </w:t>
      </w:r>
      <w:r w:rsidRPr="00A27277">
        <w:rPr>
          <w:rFonts w:cstheme="minorHAnsi"/>
          <w:b/>
          <w:bCs/>
          <w:sz w:val="24"/>
          <w:szCs w:val="24"/>
        </w:rPr>
        <w:t>Act</w:t>
      </w:r>
      <w:r w:rsidRPr="00A27277">
        <w:rPr>
          <w:rFonts w:cstheme="minorHAnsi"/>
          <w:b/>
          <w:bCs/>
          <w:spacing w:val="-4"/>
          <w:sz w:val="24"/>
          <w:szCs w:val="24"/>
        </w:rPr>
        <w:t xml:space="preserve"> </w:t>
      </w:r>
      <w:r w:rsidRPr="00A27277">
        <w:rPr>
          <w:rFonts w:cstheme="minorHAnsi"/>
          <w:b/>
          <w:bCs/>
          <w:sz w:val="24"/>
          <w:szCs w:val="24"/>
        </w:rPr>
        <w:t>of</w:t>
      </w:r>
      <w:r w:rsidRPr="00A27277">
        <w:rPr>
          <w:rFonts w:cstheme="minorHAnsi"/>
          <w:b/>
          <w:bCs/>
          <w:spacing w:val="-6"/>
          <w:sz w:val="24"/>
          <w:szCs w:val="24"/>
        </w:rPr>
        <w:t xml:space="preserve"> </w:t>
      </w:r>
      <w:r w:rsidRPr="00A27277">
        <w:rPr>
          <w:rFonts w:cstheme="minorHAnsi"/>
          <w:b/>
          <w:bCs/>
          <w:sz w:val="24"/>
          <w:szCs w:val="24"/>
        </w:rPr>
        <w:t>2001,</w:t>
      </w:r>
      <w:r w:rsidRPr="00A27277">
        <w:rPr>
          <w:rFonts w:cstheme="minorHAnsi"/>
          <w:b/>
          <w:bCs/>
          <w:spacing w:val="-5"/>
          <w:sz w:val="24"/>
          <w:szCs w:val="24"/>
        </w:rPr>
        <w:t xml:space="preserve"> </w:t>
      </w:r>
      <w:hyperlink w:anchor="ExhibitD" w:history="1">
        <w:r w:rsidRPr="00A27277">
          <w:rPr>
            <w:rStyle w:val="Hyperlink"/>
            <w:rFonts w:cstheme="minorHAnsi"/>
            <w:b/>
            <w:bCs/>
            <w:sz w:val="24"/>
            <w:szCs w:val="24"/>
          </w:rPr>
          <w:t>Sections</w:t>
        </w:r>
        <w:r w:rsidRPr="00A27277">
          <w:rPr>
            <w:rStyle w:val="Hyperlink"/>
            <w:rFonts w:cstheme="minorHAnsi"/>
            <w:b/>
            <w:bCs/>
            <w:spacing w:val="-6"/>
            <w:sz w:val="24"/>
            <w:szCs w:val="24"/>
          </w:rPr>
          <w:t xml:space="preserve"> </w:t>
        </w:r>
        <w:r w:rsidRPr="00A27277">
          <w:rPr>
            <w:rStyle w:val="Hyperlink"/>
            <w:rFonts w:cstheme="minorHAnsi"/>
            <w:b/>
            <w:bCs/>
            <w:sz w:val="24"/>
            <w:szCs w:val="24"/>
          </w:rPr>
          <w:t>49430-49434</w:t>
        </w:r>
      </w:hyperlink>
      <w:r w:rsidRPr="00A27277">
        <w:rPr>
          <w:rFonts w:cstheme="minorHAnsi"/>
          <w:b/>
          <w:bCs/>
          <w:spacing w:val="-6"/>
          <w:sz w:val="24"/>
          <w:szCs w:val="24"/>
        </w:rPr>
        <w:t xml:space="preserve"> </w:t>
      </w:r>
      <w:r w:rsidRPr="00A27277">
        <w:rPr>
          <w:rFonts w:cstheme="minorHAnsi"/>
          <w:b/>
          <w:bCs/>
          <w:sz w:val="24"/>
          <w:szCs w:val="24"/>
        </w:rPr>
        <w:t>(see</w:t>
      </w:r>
      <w:r w:rsidRPr="00A27277">
        <w:rPr>
          <w:rFonts w:cstheme="minorHAnsi"/>
          <w:b/>
          <w:bCs/>
          <w:spacing w:val="-6"/>
          <w:sz w:val="24"/>
          <w:szCs w:val="24"/>
        </w:rPr>
        <w:t xml:space="preserve"> </w:t>
      </w:r>
      <w:r w:rsidRPr="00A27277">
        <w:rPr>
          <w:rFonts w:cstheme="minorHAnsi"/>
          <w:b/>
          <w:bCs/>
          <w:sz w:val="24"/>
          <w:szCs w:val="24"/>
        </w:rPr>
        <w:t>Exhibit D.5).</w:t>
      </w:r>
      <w:r w:rsidR="006C0C55" w:rsidRPr="00A27277">
        <w:rPr>
          <w:b/>
          <w:bCs/>
          <w:sz w:val="24"/>
          <w:szCs w:val="24"/>
        </w:rPr>
        <w:t xml:space="preserve"> </w:t>
      </w:r>
    </w:p>
    <w:sectPr w:rsidR="00B94E07" w:rsidRPr="00A27277" w:rsidSect="0000608E">
      <w:footerReference w:type="default" r:id="rId17"/>
      <w:pgSz w:w="12240" w:h="15840"/>
      <w:pgMar w:top="162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1418" w14:textId="77777777" w:rsidR="00D54ACC" w:rsidRDefault="00D54ACC" w:rsidP="004D242F">
      <w:r>
        <w:separator/>
      </w:r>
    </w:p>
  </w:endnote>
  <w:endnote w:type="continuationSeparator" w:id="0">
    <w:p w14:paraId="53914098" w14:textId="77777777" w:rsidR="00D54ACC" w:rsidRDefault="00D54ACC" w:rsidP="004D242F">
      <w:r>
        <w:continuationSeparator/>
      </w:r>
    </w:p>
  </w:endnote>
  <w:endnote w:type="continuationNotice" w:id="1">
    <w:p w14:paraId="5CD54FBA" w14:textId="77777777" w:rsidR="00D54ACC" w:rsidRDefault="00D54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530140" w:rsidRDefault="00000000"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24BEAA0F"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3D797B">
      <w:rPr>
        <w:rFonts w:ascii="Calibri" w:hAnsi="Calibri" w:cs="Calibri"/>
        <w:sz w:val="20"/>
      </w:rPr>
      <w:t xml:space="preserve">RFP No. </w:t>
    </w:r>
    <w:r w:rsidR="00E83ABA" w:rsidRPr="003D797B">
      <w:rPr>
        <w:rFonts w:ascii="Calibri" w:hAnsi="Calibri" w:cs="Calibri"/>
        <w:sz w:val="20"/>
      </w:rPr>
      <w:t>90</w:t>
    </w:r>
    <w:r w:rsidR="003D797B" w:rsidRPr="003D797B">
      <w:rPr>
        <w:rFonts w:ascii="Calibri" w:hAnsi="Calibri" w:cs="Calibri"/>
        <w:sz w:val="20"/>
      </w:rPr>
      <w:t>2215</w:t>
    </w:r>
    <w:r w:rsidR="005D53C7" w:rsidRPr="003D797B">
      <w:rPr>
        <w:rFonts w:ascii="Calibri" w:hAnsi="Calibri" w:cs="Calibri"/>
        <w:sz w:val="20"/>
      </w:rPr>
      <w:t xml:space="preserve">, </w:t>
    </w:r>
    <w:r w:rsidR="005D53C7">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FEE5" w14:textId="77777777" w:rsidR="00D54ACC" w:rsidRDefault="00D54ACC" w:rsidP="004D242F">
      <w:r>
        <w:separator/>
      </w:r>
    </w:p>
  </w:footnote>
  <w:footnote w:type="continuationSeparator" w:id="0">
    <w:p w14:paraId="5E8ECA05" w14:textId="77777777" w:rsidR="00D54ACC" w:rsidRDefault="00D54ACC" w:rsidP="004D242F">
      <w:r>
        <w:continuationSeparator/>
      </w:r>
    </w:p>
  </w:footnote>
  <w:footnote w:type="continuationNotice" w:id="1">
    <w:p w14:paraId="54B77A6F" w14:textId="77777777" w:rsidR="00D54ACC" w:rsidRDefault="00D54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274F8CCC" w:rsidR="00530140" w:rsidRPr="004D242F" w:rsidRDefault="004D242F" w:rsidP="00741E10">
    <w:pPr>
      <w:pStyle w:val="Header"/>
      <w:jc w:val="center"/>
      <w:rPr>
        <w:rFonts w:ascii="Calibri" w:hAnsi="Calibri" w:cs="Calibri"/>
        <w:b/>
        <w:snapToGrid w:val="0"/>
        <w:szCs w:val="26"/>
      </w:rPr>
    </w:pPr>
    <w:r w:rsidRPr="003D797B">
      <w:rPr>
        <w:rFonts w:ascii="Calibri" w:hAnsi="Calibri" w:cs="Calibri"/>
        <w:b/>
        <w:snapToGrid w:val="0"/>
        <w:szCs w:val="26"/>
      </w:rPr>
      <w:t>RF</w:t>
    </w:r>
    <w:r w:rsidR="00392870" w:rsidRPr="003D797B">
      <w:rPr>
        <w:rFonts w:ascii="Calibri" w:hAnsi="Calibri" w:cs="Calibri"/>
        <w:b/>
        <w:snapToGrid w:val="0"/>
        <w:szCs w:val="26"/>
      </w:rPr>
      <w:t>P</w:t>
    </w:r>
    <w:r w:rsidRPr="003D797B">
      <w:rPr>
        <w:rFonts w:ascii="Calibri" w:hAnsi="Calibri" w:cs="Calibri"/>
        <w:b/>
        <w:snapToGrid w:val="0"/>
        <w:szCs w:val="26"/>
      </w:rPr>
      <w:t xml:space="preserve"> No. 90</w:t>
    </w:r>
    <w:r w:rsidR="00F7239B" w:rsidRPr="003D797B">
      <w:rPr>
        <w:rFonts w:ascii="Calibri" w:hAnsi="Calibri" w:cs="Calibri"/>
        <w:b/>
        <w:snapToGrid w:val="0"/>
        <w:szCs w:val="26"/>
      </w:rPr>
      <w:t>2215</w:t>
    </w:r>
    <w:r w:rsidRPr="004D242F">
      <w:rPr>
        <w:rFonts w:ascii="Calibri" w:hAnsi="Calibri" w:cs="Calibri"/>
        <w:b/>
        <w:snapToGrid w:val="0"/>
        <w:szCs w:val="26"/>
      </w:rPr>
      <w:t>, Questions &amp; Answers</w:t>
    </w:r>
  </w:p>
  <w:p w14:paraId="467C96E5" w14:textId="77777777" w:rsidR="00530140" w:rsidRDefault="0000000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530140"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530140"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BA06596"/>
    <w:multiLevelType w:val="hybridMultilevel"/>
    <w:tmpl w:val="40FEAF56"/>
    <w:lvl w:ilvl="0" w:tplc="A154B658">
      <w:start w:val="1"/>
      <w:numFmt w:val="upperRoman"/>
      <w:lvlText w:val="%1."/>
      <w:lvlJc w:val="left"/>
      <w:pPr>
        <w:ind w:left="1100" w:hanging="721"/>
      </w:pPr>
      <w:rPr>
        <w:rFonts w:ascii="Calibri" w:eastAsia="Calibri" w:hAnsi="Calibri" w:cs="Calibri" w:hint="default"/>
        <w:b/>
        <w:bCs/>
        <w:i w:val="0"/>
        <w:iCs w:val="0"/>
        <w:spacing w:val="-1"/>
        <w:w w:val="100"/>
        <w:sz w:val="30"/>
        <w:szCs w:val="30"/>
        <w:lang w:val="en-US" w:eastAsia="en-US" w:bidi="ar-SA"/>
      </w:rPr>
    </w:lvl>
    <w:lvl w:ilvl="1" w:tplc="F1422230">
      <w:start w:val="1"/>
      <w:numFmt w:val="upperLetter"/>
      <w:lvlText w:val="%2."/>
      <w:lvlJc w:val="left"/>
      <w:pPr>
        <w:ind w:left="1820" w:hanging="720"/>
      </w:pPr>
      <w:rPr>
        <w:rFonts w:hint="default"/>
        <w:w w:val="100"/>
        <w:lang w:val="en-US" w:eastAsia="en-US" w:bidi="ar-SA"/>
      </w:rPr>
    </w:lvl>
    <w:lvl w:ilvl="2" w:tplc="EE40A312">
      <w:start w:val="1"/>
      <w:numFmt w:val="decimal"/>
      <w:lvlText w:val="%3."/>
      <w:lvlJc w:val="left"/>
      <w:pPr>
        <w:ind w:left="2540" w:hanging="720"/>
      </w:pPr>
      <w:rPr>
        <w:rFonts w:hint="default"/>
        <w:w w:val="99"/>
        <w:lang w:val="en-US" w:eastAsia="en-US" w:bidi="ar-SA"/>
      </w:rPr>
    </w:lvl>
    <w:lvl w:ilvl="3" w:tplc="04090019">
      <w:start w:val="1"/>
      <w:numFmt w:val="lowerLetter"/>
      <w:lvlText w:val="%4."/>
      <w:lvlJc w:val="left"/>
      <w:pPr>
        <w:ind w:left="2900" w:hanging="360"/>
      </w:pPr>
    </w:lvl>
    <w:lvl w:ilvl="4" w:tplc="50F6608A">
      <w:start w:val="1"/>
      <w:numFmt w:val="decimal"/>
      <w:lvlText w:val="(%5)"/>
      <w:lvlJc w:val="right"/>
      <w:pPr>
        <w:ind w:left="1440" w:hanging="360"/>
      </w:pPr>
      <w:rPr>
        <w:rFonts w:hint="default"/>
      </w:rPr>
    </w:lvl>
    <w:lvl w:ilvl="5" w:tplc="0B786F50">
      <w:numFmt w:val="bullet"/>
      <w:lvlText w:val="•"/>
      <w:lvlJc w:val="left"/>
      <w:pPr>
        <w:ind w:left="3980" w:hanging="720"/>
      </w:pPr>
      <w:rPr>
        <w:rFonts w:hint="default"/>
        <w:lang w:val="en-US" w:eastAsia="en-US" w:bidi="ar-SA"/>
      </w:rPr>
    </w:lvl>
    <w:lvl w:ilvl="6" w:tplc="D48CA7CE">
      <w:numFmt w:val="bullet"/>
      <w:lvlText w:val="•"/>
      <w:lvlJc w:val="left"/>
      <w:pPr>
        <w:ind w:left="5540" w:hanging="720"/>
      </w:pPr>
      <w:rPr>
        <w:rFonts w:hint="default"/>
        <w:lang w:val="en-US" w:eastAsia="en-US" w:bidi="ar-SA"/>
      </w:rPr>
    </w:lvl>
    <w:lvl w:ilvl="7" w:tplc="1F52EFD6">
      <w:numFmt w:val="bullet"/>
      <w:lvlText w:val="•"/>
      <w:lvlJc w:val="left"/>
      <w:pPr>
        <w:ind w:left="7100" w:hanging="720"/>
      </w:pPr>
      <w:rPr>
        <w:rFonts w:hint="default"/>
        <w:lang w:val="en-US" w:eastAsia="en-US" w:bidi="ar-SA"/>
      </w:rPr>
    </w:lvl>
    <w:lvl w:ilvl="8" w:tplc="A4EC697A">
      <w:numFmt w:val="bullet"/>
      <w:lvlText w:val="•"/>
      <w:lvlJc w:val="left"/>
      <w:pPr>
        <w:ind w:left="8660" w:hanging="720"/>
      </w:pPr>
      <w:rPr>
        <w:rFonts w:hint="default"/>
        <w:lang w:val="en-US" w:eastAsia="en-US" w:bidi="ar-SA"/>
      </w:r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23834">
    <w:abstractNumId w:val="0"/>
  </w:num>
  <w:num w:numId="2" w16cid:durableId="527331527">
    <w:abstractNumId w:val="3"/>
  </w:num>
  <w:num w:numId="3" w16cid:durableId="420762102">
    <w:abstractNumId w:val="2"/>
  </w:num>
  <w:num w:numId="4" w16cid:durableId="204493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0FALZaVoctAAAA"/>
  </w:docVars>
  <w:rsids>
    <w:rsidRoot w:val="004D242F"/>
    <w:rsid w:val="0000608E"/>
    <w:rsid w:val="00035A55"/>
    <w:rsid w:val="000446E1"/>
    <w:rsid w:val="000835A0"/>
    <w:rsid w:val="000D4C47"/>
    <w:rsid w:val="000F7078"/>
    <w:rsid w:val="001338E5"/>
    <w:rsid w:val="0015259B"/>
    <w:rsid w:val="00160400"/>
    <w:rsid w:val="00160CDE"/>
    <w:rsid w:val="001630AE"/>
    <w:rsid w:val="001674A0"/>
    <w:rsid w:val="0019537B"/>
    <w:rsid w:val="001E416A"/>
    <w:rsid w:val="002023B4"/>
    <w:rsid w:val="002141E7"/>
    <w:rsid w:val="00245437"/>
    <w:rsid w:val="0024787A"/>
    <w:rsid w:val="002B1B1D"/>
    <w:rsid w:val="002B3056"/>
    <w:rsid w:val="002C016F"/>
    <w:rsid w:val="002D61C1"/>
    <w:rsid w:val="00336238"/>
    <w:rsid w:val="00386FF3"/>
    <w:rsid w:val="0038729B"/>
    <w:rsid w:val="003911A1"/>
    <w:rsid w:val="00392870"/>
    <w:rsid w:val="0039295B"/>
    <w:rsid w:val="00394134"/>
    <w:rsid w:val="003C1E12"/>
    <w:rsid w:val="003D797B"/>
    <w:rsid w:val="003E1120"/>
    <w:rsid w:val="0040545B"/>
    <w:rsid w:val="00434AA3"/>
    <w:rsid w:val="00437541"/>
    <w:rsid w:val="004601DD"/>
    <w:rsid w:val="00461212"/>
    <w:rsid w:val="004740BB"/>
    <w:rsid w:val="004B2EAB"/>
    <w:rsid w:val="004D242F"/>
    <w:rsid w:val="00526AD9"/>
    <w:rsid w:val="005839BB"/>
    <w:rsid w:val="0058499E"/>
    <w:rsid w:val="00596B77"/>
    <w:rsid w:val="005A1C47"/>
    <w:rsid w:val="005B3C45"/>
    <w:rsid w:val="005C4468"/>
    <w:rsid w:val="005C5740"/>
    <w:rsid w:val="005D1234"/>
    <w:rsid w:val="005D2171"/>
    <w:rsid w:val="005D53C7"/>
    <w:rsid w:val="005E2B45"/>
    <w:rsid w:val="005F00B4"/>
    <w:rsid w:val="005F357D"/>
    <w:rsid w:val="005F5669"/>
    <w:rsid w:val="00600974"/>
    <w:rsid w:val="006243F0"/>
    <w:rsid w:val="006364B6"/>
    <w:rsid w:val="006476D8"/>
    <w:rsid w:val="00650CC7"/>
    <w:rsid w:val="00685CF3"/>
    <w:rsid w:val="006A2856"/>
    <w:rsid w:val="006A3F78"/>
    <w:rsid w:val="006C0C55"/>
    <w:rsid w:val="006C112F"/>
    <w:rsid w:val="006E29B8"/>
    <w:rsid w:val="006F6EE7"/>
    <w:rsid w:val="00715C57"/>
    <w:rsid w:val="007350CE"/>
    <w:rsid w:val="0073554A"/>
    <w:rsid w:val="00751BCB"/>
    <w:rsid w:val="007563DD"/>
    <w:rsid w:val="00756EEE"/>
    <w:rsid w:val="007859C8"/>
    <w:rsid w:val="0079017F"/>
    <w:rsid w:val="007A037A"/>
    <w:rsid w:val="007D5A47"/>
    <w:rsid w:val="007F4755"/>
    <w:rsid w:val="00801940"/>
    <w:rsid w:val="00813F8B"/>
    <w:rsid w:val="00814F9E"/>
    <w:rsid w:val="0081722F"/>
    <w:rsid w:val="00817BEE"/>
    <w:rsid w:val="00841D40"/>
    <w:rsid w:val="00862620"/>
    <w:rsid w:val="00865DCB"/>
    <w:rsid w:val="008723BA"/>
    <w:rsid w:val="00875E37"/>
    <w:rsid w:val="0089782A"/>
    <w:rsid w:val="008A0462"/>
    <w:rsid w:val="008B0D41"/>
    <w:rsid w:val="008F08DA"/>
    <w:rsid w:val="008F4CC4"/>
    <w:rsid w:val="00936366"/>
    <w:rsid w:val="00967105"/>
    <w:rsid w:val="009F4B70"/>
    <w:rsid w:val="00A07482"/>
    <w:rsid w:val="00A27277"/>
    <w:rsid w:val="00A3047F"/>
    <w:rsid w:val="00A376F0"/>
    <w:rsid w:val="00A52CF9"/>
    <w:rsid w:val="00A72A23"/>
    <w:rsid w:val="00AA2ACB"/>
    <w:rsid w:val="00AA6F62"/>
    <w:rsid w:val="00AD644E"/>
    <w:rsid w:val="00AF2895"/>
    <w:rsid w:val="00B506A9"/>
    <w:rsid w:val="00B60008"/>
    <w:rsid w:val="00B627FE"/>
    <w:rsid w:val="00B92B1A"/>
    <w:rsid w:val="00B94E07"/>
    <w:rsid w:val="00BD3600"/>
    <w:rsid w:val="00BE57D1"/>
    <w:rsid w:val="00C22EFA"/>
    <w:rsid w:val="00C402EA"/>
    <w:rsid w:val="00C55239"/>
    <w:rsid w:val="00C56222"/>
    <w:rsid w:val="00CB36D0"/>
    <w:rsid w:val="00CB52F8"/>
    <w:rsid w:val="00CD5814"/>
    <w:rsid w:val="00CF26D9"/>
    <w:rsid w:val="00D06F87"/>
    <w:rsid w:val="00D14E26"/>
    <w:rsid w:val="00D30D72"/>
    <w:rsid w:val="00D3409F"/>
    <w:rsid w:val="00D54ACC"/>
    <w:rsid w:val="00D62212"/>
    <w:rsid w:val="00D776E2"/>
    <w:rsid w:val="00DA14C7"/>
    <w:rsid w:val="00DD37F7"/>
    <w:rsid w:val="00DD4FAD"/>
    <w:rsid w:val="00E25F62"/>
    <w:rsid w:val="00E4146F"/>
    <w:rsid w:val="00E45F99"/>
    <w:rsid w:val="00E4764E"/>
    <w:rsid w:val="00E83ABA"/>
    <w:rsid w:val="00EA15BA"/>
    <w:rsid w:val="00EB4385"/>
    <w:rsid w:val="00ED3117"/>
    <w:rsid w:val="00EE7E2B"/>
    <w:rsid w:val="00F4176C"/>
    <w:rsid w:val="00F474BF"/>
    <w:rsid w:val="00F5155E"/>
    <w:rsid w:val="00F7239B"/>
    <w:rsid w:val="00F93189"/>
    <w:rsid w:val="00FC1008"/>
    <w:rsid w:val="00FC4182"/>
    <w:rsid w:val="00FD370B"/>
    <w:rsid w:val="00FD5CD9"/>
    <w:rsid w:val="00FE19E9"/>
    <w:rsid w:val="00FE475B"/>
    <w:rsid w:val="00FE5898"/>
    <w:rsid w:val="00FF551A"/>
    <w:rsid w:val="7810E245"/>
    <w:rsid w:val="7EEC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C0C55"/>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link w:val="ListParagraphChar"/>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customStyle="1" w:styleId="ListParagraphChar">
    <w:name w:val="List Paragraph Char"/>
    <w:link w:val="ListParagraph"/>
    <w:uiPriority w:val="34"/>
    <w:locked/>
    <w:rsid w:val="00C22EFA"/>
  </w:style>
  <w:style w:type="paragraph" w:styleId="Revision">
    <w:name w:val="Revision"/>
    <w:hidden/>
    <w:uiPriority w:val="99"/>
    <w:semiHidden/>
    <w:rsid w:val="001E416A"/>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96924839">
      <w:bodyDiv w:val="1"/>
      <w:marLeft w:val="0"/>
      <w:marRight w:val="0"/>
      <w:marTop w:val="0"/>
      <w:marBottom w:val="0"/>
      <w:divBdr>
        <w:top w:val="none" w:sz="0" w:space="0" w:color="auto"/>
        <w:left w:val="none" w:sz="0" w:space="0" w:color="auto"/>
        <w:bottom w:val="none" w:sz="0" w:space="0" w:color="auto"/>
        <w:right w:val="none" w:sz="0" w:space="0" w:color="auto"/>
      </w:divBdr>
    </w:div>
    <w:div w:id="145660633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9E5D865F-3BA3-475C-81A4-A9EFA2610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Chan, Christine  GSA - Procurement Department</cp:lastModifiedBy>
  <cp:revision>10</cp:revision>
  <dcterms:created xsi:type="dcterms:W3CDTF">2023-01-19T00:27:00Z</dcterms:created>
  <dcterms:modified xsi:type="dcterms:W3CDTF">2023-01-19T18:36:00Z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y fmtid="{D5CDD505-2E9C-101B-9397-08002B2CF9AE}" pid="4" name="GrammarlyDocumentId">
    <vt:lpwstr>88f1a86ea9854755bbcfd42ba96e506983d024a0cfbb91d9ef1d85308e017a5e</vt:lpwstr>
  </property>
</Properties>
</file>