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C58F" w14:textId="5146DAB2" w:rsidR="004D242F" w:rsidRDefault="004D242F" w:rsidP="004D242F">
      <w:pPr>
        <w:pStyle w:val="Title"/>
        <w:rPr>
          <w:rFonts w:ascii="Calibri" w:hAnsi="Calibri" w:cs="Calibri"/>
          <w:sz w:val="24"/>
          <w:szCs w:val="24"/>
        </w:rPr>
      </w:pPr>
    </w:p>
    <w:p w14:paraId="29B3AD08" w14:textId="77777777" w:rsidR="004D242F" w:rsidRPr="002041C1" w:rsidRDefault="004D242F" w:rsidP="004D242F">
      <w:pPr>
        <w:pStyle w:val="Title"/>
        <w:rPr>
          <w:rFonts w:ascii="Calibri" w:hAnsi="Calibri" w:cs="Calibri"/>
          <w:sz w:val="24"/>
          <w:szCs w:val="24"/>
        </w:rPr>
      </w:pPr>
    </w:p>
    <w:p w14:paraId="6D01DA94" w14:textId="77777777" w:rsidR="004D242F" w:rsidRPr="00985AE1" w:rsidRDefault="004D242F" w:rsidP="004D242F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7B2B5553" w14:textId="77777777" w:rsidR="004D242F" w:rsidRPr="00985AE1" w:rsidRDefault="004D242F" w:rsidP="004D242F">
      <w:pPr>
        <w:pStyle w:val="Title"/>
        <w:rPr>
          <w:rFonts w:ascii="Calibri" w:hAnsi="Calibri" w:cs="Calibri"/>
          <w:sz w:val="20"/>
        </w:rPr>
      </w:pPr>
    </w:p>
    <w:p w14:paraId="48755134" w14:textId="77777777" w:rsidR="004D242F" w:rsidRPr="00985AE1" w:rsidRDefault="004D242F" w:rsidP="004D242F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Questions &amp; Answers</w:t>
      </w:r>
    </w:p>
    <w:p w14:paraId="57B92210" w14:textId="77777777" w:rsidR="004D242F" w:rsidRPr="00A85450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745CA869" w14:textId="77777777" w:rsidR="004D242F" w:rsidRPr="00985AE1" w:rsidRDefault="004D242F" w:rsidP="004D242F">
      <w:pPr>
        <w:pStyle w:val="Title"/>
        <w:rPr>
          <w:rFonts w:ascii="Calibri" w:hAnsi="Calibri" w:cs="Calibri"/>
          <w:sz w:val="40"/>
          <w:szCs w:val="40"/>
        </w:rPr>
      </w:pPr>
      <w:r w:rsidRPr="00985AE1">
        <w:rPr>
          <w:rFonts w:ascii="Calibri" w:hAnsi="Calibri" w:cs="Calibri"/>
          <w:sz w:val="40"/>
          <w:szCs w:val="40"/>
        </w:rPr>
        <w:t>to</w:t>
      </w:r>
    </w:p>
    <w:p w14:paraId="21B5B3DD" w14:textId="77777777" w:rsidR="004D242F" w:rsidRPr="00A85450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2698201C" w14:textId="77777777" w:rsidR="00E93249" w:rsidRPr="008A60BD" w:rsidRDefault="00E93249" w:rsidP="00E93249">
      <w:pPr>
        <w:pStyle w:val="Subtitle"/>
        <w:rPr>
          <w:rFonts w:ascii="Calibri" w:hAnsi="Calibri" w:cs="Calibri"/>
          <w:color w:val="FF0000"/>
          <w:sz w:val="40"/>
          <w:szCs w:val="40"/>
        </w:rPr>
      </w:pPr>
      <w:r w:rsidRPr="00EF6E32">
        <w:rPr>
          <w:rFonts w:ascii="Calibri" w:hAnsi="Calibri" w:cs="Calibri"/>
          <w:sz w:val="40"/>
          <w:szCs w:val="40"/>
        </w:rPr>
        <w:t>RFP No. 2023-SSA-CFS-TSCS</w:t>
      </w:r>
    </w:p>
    <w:p w14:paraId="35149802" w14:textId="77777777" w:rsidR="00E93249" w:rsidRPr="00634894" w:rsidRDefault="00E93249" w:rsidP="00E93249">
      <w:pPr>
        <w:pStyle w:val="RFP-QHeader2"/>
        <w:rPr>
          <w:rFonts w:ascii="Calibri" w:hAnsi="Calibri" w:cs="Calibri"/>
          <w:sz w:val="20"/>
        </w:rPr>
      </w:pPr>
    </w:p>
    <w:p w14:paraId="7218434A" w14:textId="77777777" w:rsidR="00E93249" w:rsidRPr="00634894" w:rsidRDefault="00E93249" w:rsidP="00E93249">
      <w:pPr>
        <w:pStyle w:val="Heading3"/>
        <w:rPr>
          <w:rFonts w:ascii="Calibri" w:hAnsi="Calibri" w:cs="Calibri"/>
          <w:sz w:val="40"/>
          <w:szCs w:val="40"/>
        </w:rPr>
      </w:pPr>
      <w:r w:rsidRPr="00634894">
        <w:rPr>
          <w:rFonts w:ascii="Calibri" w:hAnsi="Calibri" w:cs="Calibri"/>
          <w:sz w:val="40"/>
          <w:szCs w:val="40"/>
        </w:rPr>
        <w:t>for</w:t>
      </w:r>
    </w:p>
    <w:p w14:paraId="27DA616D" w14:textId="77777777" w:rsidR="00E93249" w:rsidRPr="00634894" w:rsidRDefault="00E93249" w:rsidP="00E93249">
      <w:pPr>
        <w:pStyle w:val="RFP-QHeader2"/>
        <w:rPr>
          <w:rFonts w:ascii="Calibri" w:hAnsi="Calibri" w:cs="Calibri"/>
          <w:sz w:val="20"/>
        </w:rPr>
      </w:pPr>
    </w:p>
    <w:p w14:paraId="7FD849AB" w14:textId="77777777" w:rsidR="00E93249" w:rsidRDefault="00E93249" w:rsidP="00E93249">
      <w:pPr>
        <w:jc w:val="center"/>
        <w:rPr>
          <w:rFonts w:ascii="Calibri" w:hAnsi="Calibri" w:cs="Calibri"/>
          <w:b/>
          <w:sz w:val="40"/>
          <w:szCs w:val="40"/>
        </w:rPr>
      </w:pPr>
      <w:r w:rsidRPr="00885C99">
        <w:rPr>
          <w:rFonts w:ascii="Calibri" w:hAnsi="Calibri" w:cs="Calibri"/>
          <w:b/>
          <w:sz w:val="40"/>
          <w:szCs w:val="40"/>
        </w:rPr>
        <w:t>Transitional Shelter Care Services</w:t>
      </w:r>
    </w:p>
    <w:p w14:paraId="278F125E" w14:textId="77777777" w:rsidR="00E93249" w:rsidRPr="00885C99" w:rsidRDefault="00E93249" w:rsidP="00E93249">
      <w:pPr>
        <w:jc w:val="center"/>
        <w:rPr>
          <w:rFonts w:ascii="Calibri" w:hAnsi="Calibri" w:cs="Calibri"/>
          <w:b/>
          <w:sz w:val="20"/>
        </w:rPr>
      </w:pPr>
    </w:p>
    <w:p w14:paraId="36C073B2" w14:textId="77777777" w:rsidR="00E93249" w:rsidRPr="00634894" w:rsidRDefault="00E93249" w:rsidP="00E93249">
      <w:pPr>
        <w:jc w:val="center"/>
        <w:rPr>
          <w:rFonts w:ascii="Calibri" w:hAnsi="Calibri" w:cs="Calibri"/>
          <w:b/>
          <w:sz w:val="20"/>
        </w:rPr>
      </w:pPr>
    </w:p>
    <w:p w14:paraId="10233B73" w14:textId="77777777" w:rsidR="00E93249" w:rsidRPr="00F57DCB" w:rsidRDefault="00E93249" w:rsidP="00E93249">
      <w:pPr>
        <w:jc w:val="center"/>
        <w:rPr>
          <w:rFonts w:ascii="Calibri" w:hAnsi="Calibri" w:cs="Calibri"/>
          <w:b/>
          <w:sz w:val="40"/>
          <w:szCs w:val="40"/>
        </w:rPr>
      </w:pPr>
      <w:r w:rsidRPr="00F57DCB">
        <w:rPr>
          <w:rFonts w:ascii="Calibri" w:hAnsi="Calibri" w:cs="Calibri"/>
          <w:b/>
          <w:sz w:val="40"/>
          <w:szCs w:val="40"/>
        </w:rPr>
        <w:t xml:space="preserve">Networking/Bidders Conferences </w:t>
      </w:r>
      <w:r>
        <w:rPr>
          <w:rFonts w:ascii="Calibri" w:hAnsi="Calibri" w:cs="Calibri"/>
          <w:b/>
          <w:sz w:val="40"/>
          <w:szCs w:val="40"/>
        </w:rPr>
        <w:t>h</w:t>
      </w:r>
      <w:r w:rsidRPr="00F57DCB">
        <w:rPr>
          <w:rFonts w:ascii="Calibri" w:hAnsi="Calibri" w:cs="Calibri"/>
          <w:b/>
          <w:sz w:val="40"/>
          <w:szCs w:val="40"/>
        </w:rPr>
        <w:t>eld</w:t>
      </w:r>
    </w:p>
    <w:p w14:paraId="32AC5EB4" w14:textId="77777777" w:rsidR="00E93249" w:rsidRDefault="00E93249" w:rsidP="00E93249">
      <w:pPr>
        <w:jc w:val="center"/>
        <w:rPr>
          <w:rFonts w:ascii="Calibri" w:hAnsi="Calibri" w:cs="Calibri"/>
          <w:b/>
          <w:sz w:val="40"/>
          <w:szCs w:val="40"/>
        </w:rPr>
      </w:pPr>
      <w:r w:rsidRPr="00F57DCB">
        <w:rPr>
          <w:rFonts w:ascii="Calibri" w:hAnsi="Calibri" w:cs="Calibri"/>
          <w:b/>
          <w:sz w:val="40"/>
          <w:szCs w:val="40"/>
        </w:rPr>
        <w:t>Thursday, November 16, 2023 and Friday, November 17, 2023</w:t>
      </w:r>
    </w:p>
    <w:p w14:paraId="133BA389" w14:textId="77777777" w:rsidR="005445A4" w:rsidRPr="00F57DCB" w:rsidRDefault="005445A4" w:rsidP="00E93249">
      <w:pPr>
        <w:jc w:val="center"/>
        <w:rPr>
          <w:rFonts w:ascii="Calibri" w:hAnsi="Calibri" w:cs="Calibri"/>
          <w:b/>
          <w:sz w:val="40"/>
          <w:szCs w:val="40"/>
        </w:rPr>
      </w:pPr>
    </w:p>
    <w:p w14:paraId="122CE624" w14:textId="77777777" w:rsidR="004D242F" w:rsidRPr="00985AE1" w:rsidRDefault="004D242F" w:rsidP="004D242F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445A4" w:rsidRPr="00C367AB" w14:paraId="7462FB2E" w14:textId="77777777" w:rsidTr="008937DA"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882E3F" w14:textId="68BA56EA" w:rsidR="005445A4" w:rsidRPr="00C367AB" w:rsidRDefault="005445A4" w:rsidP="008937DA">
            <w:pPr>
              <w:rPr>
                <w:rFonts w:ascii="Calibri" w:hAnsi="Calibri" w:cs="Calibri"/>
                <w:sz w:val="20"/>
              </w:rPr>
            </w:pPr>
            <w:r w:rsidRPr="000B3153">
              <w:rPr>
                <w:rFonts w:ascii="Calibri" w:hAnsi="Calibri" w:cs="Calibri"/>
                <w:b/>
                <w:sz w:val="28"/>
                <w:szCs w:val="28"/>
              </w:rPr>
              <w:t xml:space="preserve">This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Questions &amp; Answers document</w:t>
            </w:r>
            <w:r w:rsidRPr="000B3153">
              <w:rPr>
                <w:rFonts w:ascii="Calibri" w:hAnsi="Calibri" w:cs="Calibri"/>
                <w:b/>
                <w:sz w:val="28"/>
                <w:szCs w:val="28"/>
              </w:rPr>
              <w:t xml:space="preserve"> will be posted on the GSA Contracting Opportunities website located at </w:t>
            </w:r>
            <w:hyperlink r:id="rId12" w:history="1">
              <w:r w:rsidRPr="000B3153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Pr="000B3153">
              <w:rPr>
                <w:rStyle w:val="Hyperlink"/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42A1B1A7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029203E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4C6DCC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6C110B4B" w14:textId="77777777" w:rsidR="004D242F" w:rsidRDefault="004D242F" w:rsidP="004D242F">
      <w:pPr>
        <w:rPr>
          <w:rFonts w:ascii="Calibri" w:hAnsi="Calibri" w:cs="Calibri"/>
          <w:sz w:val="20"/>
        </w:rPr>
      </w:pPr>
    </w:p>
    <w:p w14:paraId="64EB3B3F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2F4CDB98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32912BC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0649A87F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2D1C7E2" w14:textId="77777777" w:rsidR="004D242F" w:rsidRDefault="004D242F" w:rsidP="004D242F">
      <w:pPr>
        <w:rPr>
          <w:rFonts w:ascii="Calibri" w:hAnsi="Calibri" w:cs="Calibri"/>
          <w:sz w:val="20"/>
        </w:rPr>
      </w:pPr>
    </w:p>
    <w:p w14:paraId="54EE0856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4AC29FE9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277D913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173920E9" w14:textId="77777777" w:rsidR="004D242F" w:rsidRPr="0062630A" w:rsidRDefault="004D242F" w:rsidP="004D242F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83242" wp14:editId="51CCCC9E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9525" b="9525"/>
            <wp:wrapNone/>
            <wp:docPr id="1" name="Picture 1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05B03F06" w14:textId="77777777" w:rsidR="004D242F" w:rsidRDefault="004D242F" w:rsidP="004D242F">
      <w:pPr>
        <w:ind w:left="2520"/>
        <w:rPr>
          <w:rFonts w:ascii="Calibri" w:hAnsi="Calibri" w:cs="Calibri"/>
          <w:color w:val="008000"/>
          <w:sz w:val="20"/>
        </w:rPr>
        <w:sectPr w:rsidR="004D242F" w:rsidSect="005A1C4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864" w:footer="576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78C51979" w14:textId="77777777" w:rsidR="00BA7652" w:rsidRDefault="00EB4385" w:rsidP="00BA7652">
      <w:pPr>
        <w:rPr>
          <w:rFonts w:ascii="Calibri" w:hAnsi="Calibri" w:cs="Calibri"/>
          <w:sz w:val="24"/>
          <w:szCs w:val="24"/>
        </w:rPr>
      </w:pPr>
      <w:r w:rsidRPr="00A2615E">
        <w:rPr>
          <w:rFonts w:ascii="Calibri" w:hAnsi="Calibri" w:cs="Calibri"/>
          <w:sz w:val="24"/>
          <w:szCs w:val="24"/>
        </w:rPr>
        <w:lastRenderedPageBreak/>
        <w:t>Thank you for your participation and interest in the County of Alameda</w:t>
      </w:r>
      <w:r w:rsidR="00FD5CD9" w:rsidRPr="00A2615E">
        <w:rPr>
          <w:rFonts w:ascii="Calibri" w:hAnsi="Calibri" w:cs="Calibri"/>
          <w:sz w:val="24"/>
          <w:szCs w:val="24"/>
        </w:rPr>
        <w:t xml:space="preserve"> Request for </w:t>
      </w:r>
      <w:r w:rsidR="00FD5CD9" w:rsidRPr="00BE071C">
        <w:rPr>
          <w:rFonts w:ascii="Calibri" w:hAnsi="Calibri" w:cs="Calibri"/>
          <w:sz w:val="24"/>
          <w:szCs w:val="24"/>
        </w:rPr>
        <w:t xml:space="preserve">Proposal (RFP) </w:t>
      </w:r>
    </w:p>
    <w:p w14:paraId="4D0E487D" w14:textId="4F653593" w:rsidR="00EB4385" w:rsidRDefault="00BA7652" w:rsidP="00BA76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No. 2023-SSA-CFS-TSCS </w:t>
      </w:r>
      <w:r w:rsidR="00FD5CD9" w:rsidRPr="00BE071C">
        <w:rPr>
          <w:rFonts w:ascii="Calibri" w:hAnsi="Calibri" w:cs="Calibri"/>
          <w:sz w:val="24"/>
          <w:szCs w:val="24"/>
        </w:rPr>
        <w:t xml:space="preserve">for </w:t>
      </w:r>
      <w:r w:rsidR="00BE071C" w:rsidRPr="00BE071C">
        <w:rPr>
          <w:rFonts w:ascii="Calibri" w:hAnsi="Calibri" w:cs="Calibri"/>
          <w:sz w:val="24"/>
          <w:szCs w:val="24"/>
        </w:rPr>
        <w:t>Transitional Shelter Care Services</w:t>
      </w:r>
      <w:r w:rsidR="00EB4385" w:rsidRPr="00BE071C">
        <w:rPr>
          <w:rFonts w:ascii="Calibri" w:hAnsi="Calibri" w:cs="Calibri"/>
          <w:sz w:val="24"/>
          <w:szCs w:val="24"/>
        </w:rPr>
        <w:t xml:space="preserve">.  </w:t>
      </w:r>
    </w:p>
    <w:p w14:paraId="4455F524" w14:textId="77777777" w:rsidR="00BA7652" w:rsidRPr="00BE071C" w:rsidRDefault="00BA7652" w:rsidP="00BA7652">
      <w:pPr>
        <w:rPr>
          <w:rFonts w:ascii="Calibri" w:hAnsi="Calibri" w:cs="Calibri"/>
          <w:sz w:val="24"/>
          <w:szCs w:val="24"/>
        </w:rPr>
      </w:pPr>
    </w:p>
    <w:p w14:paraId="7599B5BF" w14:textId="27949960" w:rsidR="00EB4385" w:rsidRPr="00A2615E" w:rsidRDefault="00EB4385" w:rsidP="009A3A72">
      <w:pPr>
        <w:spacing w:after="240"/>
        <w:rPr>
          <w:rFonts w:ascii="Calibri" w:hAnsi="Calibri" w:cs="Calibri"/>
          <w:sz w:val="24"/>
          <w:szCs w:val="24"/>
        </w:rPr>
      </w:pPr>
      <w:r w:rsidRPr="00DC14F5">
        <w:rPr>
          <w:rFonts w:ascii="Calibri" w:hAnsi="Calibri" w:cs="Calibri"/>
          <w:sz w:val="24"/>
          <w:szCs w:val="24"/>
        </w:rPr>
        <w:t xml:space="preserve">All the questions are </w:t>
      </w:r>
      <w:r w:rsidR="00160400" w:rsidRPr="00DC14F5">
        <w:rPr>
          <w:rFonts w:ascii="Calibri" w:hAnsi="Calibri" w:cs="Calibri"/>
          <w:sz w:val="24"/>
          <w:szCs w:val="24"/>
        </w:rPr>
        <w:t>taken verbatim</w:t>
      </w:r>
      <w:r w:rsidRPr="00DC14F5">
        <w:rPr>
          <w:rFonts w:ascii="Calibri" w:hAnsi="Calibri" w:cs="Calibri"/>
          <w:sz w:val="24"/>
          <w:szCs w:val="24"/>
        </w:rPr>
        <w:t xml:space="preserve"> from written questions </w:t>
      </w:r>
      <w:r w:rsidR="00E26547" w:rsidRPr="00DC14F5">
        <w:rPr>
          <w:rFonts w:ascii="Calibri" w:hAnsi="Calibri" w:cs="Calibri"/>
          <w:sz w:val="24"/>
          <w:szCs w:val="24"/>
        </w:rPr>
        <w:t>provided</w:t>
      </w:r>
      <w:r w:rsidRPr="00DC14F5">
        <w:rPr>
          <w:rFonts w:ascii="Calibri" w:hAnsi="Calibri" w:cs="Calibri"/>
          <w:sz w:val="24"/>
          <w:szCs w:val="24"/>
        </w:rPr>
        <w:t xml:space="preserve"> by </w:t>
      </w:r>
      <w:r w:rsidR="00FD5CD9" w:rsidRPr="00DC14F5">
        <w:rPr>
          <w:rFonts w:ascii="Calibri" w:hAnsi="Calibri" w:cs="Calibri"/>
          <w:sz w:val="24"/>
          <w:szCs w:val="24"/>
        </w:rPr>
        <w:t xml:space="preserve">potential </w:t>
      </w:r>
      <w:r w:rsidRPr="00DC14F5">
        <w:rPr>
          <w:rFonts w:ascii="Calibri" w:hAnsi="Calibri" w:cs="Calibri"/>
          <w:sz w:val="24"/>
          <w:szCs w:val="24"/>
        </w:rPr>
        <w:t>Bidders</w:t>
      </w:r>
      <w:r w:rsidR="00F1424B" w:rsidRPr="00DC14F5">
        <w:rPr>
          <w:rFonts w:ascii="Calibri" w:hAnsi="Calibri" w:cs="Calibri"/>
          <w:sz w:val="24"/>
          <w:szCs w:val="24"/>
        </w:rPr>
        <w:t xml:space="preserve"> </w:t>
      </w:r>
      <w:r w:rsidR="00E26547" w:rsidRPr="00DC14F5">
        <w:rPr>
          <w:rFonts w:ascii="Calibri" w:hAnsi="Calibri" w:cs="Calibri"/>
          <w:sz w:val="24"/>
          <w:szCs w:val="24"/>
        </w:rPr>
        <w:t xml:space="preserve">via email or </w:t>
      </w:r>
      <w:r w:rsidR="00433540" w:rsidRPr="00DC14F5">
        <w:rPr>
          <w:rFonts w:ascii="Calibri" w:hAnsi="Calibri" w:cs="Calibri"/>
          <w:sz w:val="24"/>
          <w:szCs w:val="24"/>
        </w:rPr>
        <w:t xml:space="preserve">questions provided </w:t>
      </w:r>
      <w:r w:rsidR="00840B1A" w:rsidRPr="00DC14F5">
        <w:rPr>
          <w:rFonts w:ascii="Calibri" w:hAnsi="Calibri" w:cs="Calibri"/>
          <w:sz w:val="24"/>
          <w:szCs w:val="24"/>
        </w:rPr>
        <w:t>during the Bidders Conferences</w:t>
      </w:r>
      <w:r w:rsidRPr="00DC14F5">
        <w:rPr>
          <w:rFonts w:ascii="Calibri" w:hAnsi="Calibri" w:cs="Calibri"/>
          <w:sz w:val="24"/>
          <w:szCs w:val="24"/>
        </w:rPr>
        <w:t>.</w:t>
      </w:r>
      <w:r w:rsidRPr="00A2615E">
        <w:rPr>
          <w:rFonts w:ascii="Calibri" w:hAnsi="Calibri" w:cs="Calibri"/>
          <w:sz w:val="24"/>
          <w:szCs w:val="24"/>
        </w:rPr>
        <w:t xml:space="preserve"> </w:t>
      </w:r>
      <w:r w:rsidR="008723BA" w:rsidRPr="00A2615E">
        <w:rPr>
          <w:rFonts w:ascii="Calibri" w:hAnsi="Calibri" w:cs="Calibri"/>
          <w:sz w:val="24"/>
          <w:szCs w:val="24"/>
        </w:rPr>
        <w:t>The County of Alameda shall be noted as “County” in the answers to these questions</w:t>
      </w:r>
      <w:r w:rsidRPr="00A2615E">
        <w:rPr>
          <w:rFonts w:ascii="Calibri" w:hAnsi="Calibri" w:cs="Calibri"/>
          <w:sz w:val="24"/>
          <w:szCs w:val="24"/>
        </w:rPr>
        <w:t>. The Questions and Answers are the final stance</w:t>
      </w:r>
      <w:r w:rsidR="008723BA" w:rsidRPr="00A2615E">
        <w:rPr>
          <w:rFonts w:ascii="Calibri" w:hAnsi="Calibri" w:cs="Calibri"/>
          <w:sz w:val="24"/>
          <w:szCs w:val="24"/>
        </w:rPr>
        <w:t>s</w:t>
      </w:r>
      <w:r w:rsidRPr="00A2615E">
        <w:rPr>
          <w:rFonts w:ascii="Calibri" w:hAnsi="Calibri" w:cs="Calibri"/>
          <w:sz w:val="24"/>
          <w:szCs w:val="24"/>
        </w:rPr>
        <w:t xml:space="preserve"> of the County. Please consider this document in preparation </w:t>
      </w:r>
      <w:r w:rsidR="008723BA" w:rsidRPr="00A2615E">
        <w:rPr>
          <w:rFonts w:ascii="Calibri" w:hAnsi="Calibri" w:cs="Calibri"/>
          <w:sz w:val="24"/>
          <w:szCs w:val="24"/>
        </w:rPr>
        <w:t>for</w:t>
      </w:r>
      <w:r w:rsidRPr="00A2615E">
        <w:rPr>
          <w:rFonts w:ascii="Calibri" w:hAnsi="Calibri" w:cs="Calibri"/>
          <w:sz w:val="24"/>
          <w:szCs w:val="24"/>
        </w:rPr>
        <w:t xml:space="preserve"> your bid response. </w:t>
      </w:r>
    </w:p>
    <w:p w14:paraId="24DE5580" w14:textId="77777777" w:rsidR="00EB4385" w:rsidRPr="00A2615E" w:rsidRDefault="00EB4385" w:rsidP="00EB4385">
      <w:pPr>
        <w:rPr>
          <w:rFonts w:ascii="Calibri" w:hAnsi="Calibri" w:cs="Calibri"/>
          <w:sz w:val="24"/>
          <w:szCs w:val="24"/>
        </w:rPr>
      </w:pPr>
    </w:p>
    <w:p w14:paraId="556E7B61" w14:textId="31446642" w:rsidR="004D242F" w:rsidRPr="00A2615E" w:rsidRDefault="00EB4385" w:rsidP="00EB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b/>
          <w:sz w:val="24"/>
          <w:szCs w:val="24"/>
        </w:rPr>
      </w:pPr>
      <w:r w:rsidRPr="00A2615E">
        <w:rPr>
          <w:rFonts w:ascii="Calibri" w:hAnsi="Calibri" w:cs="Calibri"/>
          <w:b/>
          <w:sz w:val="24"/>
          <w:szCs w:val="24"/>
        </w:rPr>
        <w:t>Questions and Answers:</w:t>
      </w:r>
    </w:p>
    <w:p w14:paraId="0A802CE8" w14:textId="465F6CFA" w:rsidR="004D242F" w:rsidRPr="001B313F" w:rsidRDefault="00D2188C" w:rsidP="001B313F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2188C">
        <w:rPr>
          <w:rFonts w:asciiTheme="minorHAnsi" w:hAnsiTheme="minorHAnsi" w:cstheme="minorHAnsi"/>
          <w:sz w:val="24"/>
          <w:szCs w:val="24"/>
        </w:rPr>
        <w:t>Pg. 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2188C">
        <w:rPr>
          <w:rFonts w:asciiTheme="minorHAnsi" w:hAnsiTheme="minorHAnsi" w:cstheme="minorHAnsi"/>
          <w:sz w:val="24"/>
          <w:szCs w:val="24"/>
        </w:rPr>
        <w:t>- The RFP states that the contract may be awarded to 1-2 contractors. Does that allow for two primary contracts or mean 1 primary contractor and a subcontractor? </w:t>
      </w:r>
    </w:p>
    <w:p w14:paraId="391F976F" w14:textId="5B7FBB7F" w:rsidR="004D242F" w:rsidRPr="00A2615E" w:rsidRDefault="00A07769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There will only be </w:t>
      </w:r>
      <w:r w:rsidR="00EB7799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 xml:space="preserve"> contractor. We initially believed there would be a need for </w:t>
      </w:r>
      <w:r w:rsidR="00D80536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contractors</w:t>
      </w:r>
      <w:r w:rsidR="00D80536">
        <w:rPr>
          <w:rFonts w:asciiTheme="minorHAnsi" w:hAnsiTheme="minorHAnsi" w:cstheme="minorHAnsi"/>
          <w:b/>
          <w:sz w:val="24"/>
          <w:szCs w:val="24"/>
        </w:rPr>
        <w:t>;</w:t>
      </w:r>
      <w:r>
        <w:rPr>
          <w:rFonts w:asciiTheme="minorHAnsi" w:hAnsiTheme="minorHAnsi" w:cstheme="minorHAnsi"/>
          <w:b/>
          <w:sz w:val="24"/>
          <w:szCs w:val="24"/>
        </w:rPr>
        <w:t xml:space="preserve"> however, we don’t have enough youth under the age of 13 to have </w:t>
      </w:r>
      <w:r w:rsidR="00D80536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contractors.</w:t>
      </w:r>
    </w:p>
    <w:p w14:paraId="23DA5734" w14:textId="7B581FB2" w:rsidR="009C1552" w:rsidRPr="009C1552" w:rsidRDefault="009C1552" w:rsidP="00695E4A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C1552">
        <w:rPr>
          <w:rFonts w:asciiTheme="minorHAnsi" w:hAnsiTheme="minorHAnsi" w:cstheme="minorHAnsi"/>
          <w:sz w:val="24"/>
          <w:szCs w:val="24"/>
        </w:rPr>
        <w:t>Pg</w:t>
      </w:r>
      <w:r w:rsidR="008E61B6">
        <w:rPr>
          <w:rFonts w:asciiTheme="minorHAnsi" w:hAnsiTheme="minorHAnsi" w:cstheme="minorHAnsi"/>
          <w:sz w:val="24"/>
          <w:szCs w:val="24"/>
        </w:rPr>
        <w:t>.</w:t>
      </w:r>
      <w:r w:rsidRPr="009C1552">
        <w:rPr>
          <w:rFonts w:asciiTheme="minorHAnsi" w:hAnsiTheme="minorHAnsi" w:cstheme="minorHAnsi"/>
          <w:sz w:val="24"/>
          <w:szCs w:val="24"/>
        </w:rPr>
        <w:t xml:space="preserve"> 5</w:t>
      </w:r>
      <w:r w:rsidR="008E61B6">
        <w:rPr>
          <w:rFonts w:asciiTheme="minorHAnsi" w:hAnsiTheme="minorHAnsi" w:cstheme="minorHAnsi"/>
          <w:sz w:val="24"/>
          <w:szCs w:val="24"/>
        </w:rPr>
        <w:t xml:space="preserve"> s</w:t>
      </w:r>
      <w:r w:rsidRPr="009C1552">
        <w:rPr>
          <w:rFonts w:asciiTheme="minorHAnsi" w:hAnsiTheme="minorHAnsi" w:cstheme="minorHAnsi"/>
          <w:sz w:val="24"/>
          <w:szCs w:val="24"/>
        </w:rPr>
        <w:t>ays youth are separated by age groups “whenever possible” (0-12/sibs) and (13-NMD).</w:t>
      </w:r>
    </w:p>
    <w:p w14:paraId="0C015EA9" w14:textId="77B2DBE0" w:rsidR="004D242F" w:rsidRPr="00366242" w:rsidRDefault="009C1552" w:rsidP="00695E4A">
      <w:pPr>
        <w:shd w:val="clear" w:color="auto" w:fill="FFFFFF" w:themeFill="background1"/>
        <w:spacing w:after="60"/>
        <w:ind w:left="720"/>
        <w:rPr>
          <w:rFonts w:asciiTheme="minorHAnsi" w:hAnsiTheme="minorHAnsi" w:cstheme="minorHAnsi"/>
          <w:sz w:val="24"/>
          <w:szCs w:val="24"/>
        </w:rPr>
      </w:pPr>
      <w:r w:rsidRPr="009C1552">
        <w:rPr>
          <w:rFonts w:asciiTheme="minorHAnsi" w:hAnsiTheme="minorHAnsi" w:cstheme="minorHAnsi"/>
          <w:sz w:val="24"/>
          <w:szCs w:val="24"/>
        </w:rPr>
        <w:t>What circumstances allow for young children to be placed with older children, e.g</w:t>
      </w:r>
      <w:r w:rsidR="00D80536">
        <w:rPr>
          <w:rFonts w:asciiTheme="minorHAnsi" w:hAnsiTheme="minorHAnsi" w:cstheme="minorHAnsi"/>
          <w:sz w:val="24"/>
          <w:szCs w:val="24"/>
        </w:rPr>
        <w:t>.</w:t>
      </w:r>
      <w:r w:rsidRPr="009C1552">
        <w:rPr>
          <w:rFonts w:asciiTheme="minorHAnsi" w:hAnsiTheme="minorHAnsi" w:cstheme="minorHAnsi"/>
          <w:sz w:val="24"/>
          <w:szCs w:val="24"/>
        </w:rPr>
        <w:t>, a 3</w:t>
      </w:r>
      <w:r w:rsidR="00345F05">
        <w:rPr>
          <w:rFonts w:asciiTheme="minorHAnsi" w:hAnsiTheme="minorHAnsi" w:cstheme="minorHAnsi"/>
          <w:sz w:val="24"/>
          <w:szCs w:val="24"/>
        </w:rPr>
        <w:t xml:space="preserve"> </w:t>
      </w:r>
      <w:r w:rsidRPr="009C1552">
        <w:rPr>
          <w:rFonts w:asciiTheme="minorHAnsi" w:hAnsiTheme="minorHAnsi" w:cstheme="minorHAnsi"/>
          <w:sz w:val="24"/>
          <w:szCs w:val="24"/>
        </w:rPr>
        <w:t>y.o. placed with a 17 y.o</w:t>
      </w:r>
      <w:r w:rsidR="00345F05">
        <w:rPr>
          <w:rFonts w:asciiTheme="minorHAnsi" w:hAnsiTheme="minorHAnsi" w:cstheme="minorHAnsi"/>
          <w:sz w:val="24"/>
          <w:szCs w:val="24"/>
        </w:rPr>
        <w:t>.</w:t>
      </w:r>
      <w:r w:rsidRPr="009C1552">
        <w:rPr>
          <w:rFonts w:asciiTheme="minorHAnsi" w:hAnsiTheme="minorHAnsi" w:cstheme="minorHAnsi"/>
          <w:sz w:val="24"/>
          <w:szCs w:val="24"/>
        </w:rPr>
        <w:t>? </w:t>
      </w:r>
      <w:r w:rsidR="008D0B54" w:rsidRPr="00D2188C">
        <w:rPr>
          <w:rFonts w:asciiTheme="minorHAnsi" w:hAnsiTheme="minorHAnsi" w:cstheme="minorHAnsi"/>
          <w:sz w:val="24"/>
          <w:szCs w:val="24"/>
        </w:rPr>
        <w:t> </w:t>
      </w:r>
    </w:p>
    <w:p w14:paraId="2E135BEB" w14:textId="2267E212" w:rsidR="004D242F" w:rsidRPr="00A2615E" w:rsidRDefault="00A07769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If there are less than </w:t>
      </w:r>
      <w:r w:rsidR="00695E4A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 xml:space="preserve"> youth over </w:t>
      </w:r>
      <w:r w:rsidR="00695E4A">
        <w:rPr>
          <w:rFonts w:asciiTheme="minorHAnsi" w:hAnsiTheme="minorHAnsi" w:cstheme="minorHAnsi"/>
          <w:b/>
          <w:sz w:val="24"/>
          <w:szCs w:val="24"/>
        </w:rPr>
        <w:t xml:space="preserve">age </w:t>
      </w:r>
      <w:r>
        <w:rPr>
          <w:rFonts w:asciiTheme="minorHAnsi" w:hAnsiTheme="minorHAnsi" w:cstheme="minorHAnsi"/>
          <w:b/>
          <w:sz w:val="24"/>
          <w:szCs w:val="24"/>
        </w:rPr>
        <w:t xml:space="preserve">13 and </w:t>
      </w:r>
      <w:r w:rsidR="00695E4A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youth under </w:t>
      </w:r>
      <w:r w:rsidR="00695E4A">
        <w:rPr>
          <w:rFonts w:asciiTheme="minorHAnsi" w:hAnsiTheme="minorHAnsi" w:cstheme="minorHAnsi"/>
          <w:b/>
          <w:sz w:val="24"/>
          <w:szCs w:val="24"/>
        </w:rPr>
        <w:t xml:space="preserve">age </w:t>
      </w:r>
      <w:r>
        <w:rPr>
          <w:rFonts w:asciiTheme="minorHAnsi" w:hAnsiTheme="minorHAnsi" w:cstheme="minorHAnsi"/>
          <w:b/>
          <w:sz w:val="24"/>
          <w:szCs w:val="24"/>
        </w:rPr>
        <w:t>13, we would ask that both houses be used for placement.</w:t>
      </w:r>
      <w:r w:rsidR="00695E4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If there are more youth present of either age, both homes would need to be used. They would not be in the same bedroom</w:t>
      </w:r>
      <w:r w:rsidR="00695E4A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however, unless they were siblings.</w:t>
      </w:r>
    </w:p>
    <w:p w14:paraId="514A46F5" w14:textId="098CBF41" w:rsidR="004D422A" w:rsidRPr="00D92223" w:rsidRDefault="004D422A" w:rsidP="004D422A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 w:rsidRPr="00D92223">
        <w:rPr>
          <w:rFonts w:asciiTheme="minorHAnsi" w:hAnsiTheme="minorHAnsi" w:cstheme="minorHAnsi"/>
          <w:bCs/>
          <w:sz w:val="24"/>
          <w:szCs w:val="24"/>
        </w:rPr>
        <w:t>Pg. 6 states that placement staff are solely responsible for securing appropriate placements,</w:t>
      </w:r>
    </w:p>
    <w:p w14:paraId="37BA13B3" w14:textId="6C662B53" w:rsidR="004D242F" w:rsidRPr="00D92223" w:rsidRDefault="004D422A" w:rsidP="00D92223">
      <w:pPr>
        <w:spacing w:after="60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4D422A">
        <w:rPr>
          <w:rFonts w:asciiTheme="minorHAnsi" w:hAnsiTheme="minorHAnsi" w:cstheme="minorHAnsi"/>
          <w:bCs/>
          <w:sz w:val="24"/>
          <w:szCs w:val="24"/>
        </w:rPr>
        <w:t xml:space="preserve">whereas </w:t>
      </w:r>
      <w:r w:rsidR="00E8238E">
        <w:rPr>
          <w:rFonts w:asciiTheme="minorHAnsi" w:hAnsiTheme="minorHAnsi" w:cstheme="minorHAnsi"/>
          <w:bCs/>
          <w:sz w:val="24"/>
          <w:szCs w:val="24"/>
        </w:rPr>
        <w:t>p</w:t>
      </w:r>
      <w:r w:rsidRPr="004D422A">
        <w:rPr>
          <w:rFonts w:asciiTheme="minorHAnsi" w:hAnsiTheme="minorHAnsi" w:cstheme="minorHAnsi"/>
          <w:bCs/>
          <w:sz w:val="24"/>
          <w:szCs w:val="24"/>
        </w:rPr>
        <w:t>g</w:t>
      </w:r>
      <w:r w:rsidR="007236C2">
        <w:rPr>
          <w:rFonts w:asciiTheme="minorHAnsi" w:hAnsiTheme="minorHAnsi" w:cstheme="minorHAnsi"/>
          <w:bCs/>
          <w:sz w:val="24"/>
          <w:szCs w:val="24"/>
        </w:rPr>
        <w:t>.</w:t>
      </w:r>
      <w:r w:rsidRPr="004D422A">
        <w:rPr>
          <w:rFonts w:asciiTheme="minorHAnsi" w:hAnsiTheme="minorHAnsi" w:cstheme="minorHAnsi"/>
          <w:bCs/>
          <w:sz w:val="24"/>
          <w:szCs w:val="24"/>
        </w:rPr>
        <w:t xml:space="preserve"> 7 min</w:t>
      </w:r>
      <w:r w:rsidR="00E8238E">
        <w:rPr>
          <w:rFonts w:asciiTheme="minorHAnsi" w:hAnsiTheme="minorHAnsi" w:cstheme="minorHAnsi"/>
          <w:bCs/>
          <w:sz w:val="24"/>
          <w:szCs w:val="24"/>
        </w:rPr>
        <w:t>imum</w:t>
      </w:r>
      <w:r w:rsidRPr="004D422A">
        <w:rPr>
          <w:rFonts w:asciiTheme="minorHAnsi" w:hAnsiTheme="minorHAnsi" w:cstheme="minorHAnsi"/>
          <w:bCs/>
          <w:sz w:val="24"/>
          <w:szCs w:val="24"/>
        </w:rPr>
        <w:t xml:space="preserve"> qualifications #2 states the bidder will be expected to place youth within 72 hours. Please clarify. </w:t>
      </w:r>
      <w:r w:rsidR="008D0B54" w:rsidRPr="00D2188C">
        <w:rPr>
          <w:rFonts w:asciiTheme="minorHAnsi" w:hAnsiTheme="minorHAnsi" w:cstheme="minorHAnsi"/>
          <w:sz w:val="24"/>
          <w:szCs w:val="24"/>
        </w:rPr>
        <w:t> </w:t>
      </w:r>
    </w:p>
    <w:p w14:paraId="60DE9D67" w14:textId="0CACA5B2" w:rsidR="004D242F" w:rsidRPr="00A941FB" w:rsidRDefault="00981E9F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941FB">
        <w:rPr>
          <w:rFonts w:asciiTheme="minorHAnsi" w:hAnsiTheme="minorHAnsi" w:cstheme="minorHAnsi"/>
          <w:b/>
          <w:sz w:val="24"/>
          <w:szCs w:val="24"/>
        </w:rPr>
        <w:t>T</w:t>
      </w:r>
      <w:r w:rsidR="00F54776" w:rsidRPr="00A941FB">
        <w:rPr>
          <w:rFonts w:asciiTheme="minorHAnsi" w:hAnsiTheme="minorHAnsi" w:cstheme="minorHAnsi"/>
          <w:b/>
          <w:sz w:val="24"/>
          <w:szCs w:val="24"/>
        </w:rPr>
        <w:t>he County</w:t>
      </w:r>
      <w:r w:rsidR="00030AEE">
        <w:rPr>
          <w:rFonts w:asciiTheme="minorHAnsi" w:hAnsiTheme="minorHAnsi" w:cstheme="minorHAnsi"/>
          <w:b/>
          <w:sz w:val="24"/>
          <w:szCs w:val="24"/>
        </w:rPr>
        <w:t xml:space="preserve">’s intention is to </w:t>
      </w:r>
      <w:r w:rsidR="00F54776" w:rsidRPr="00A941FB">
        <w:rPr>
          <w:rFonts w:asciiTheme="minorHAnsi" w:hAnsiTheme="minorHAnsi" w:cstheme="minorHAnsi"/>
          <w:b/>
          <w:sz w:val="24"/>
          <w:szCs w:val="24"/>
        </w:rPr>
        <w:t>place youth within 72 hours</w:t>
      </w:r>
      <w:r w:rsidR="00695E4A">
        <w:rPr>
          <w:rFonts w:asciiTheme="minorHAnsi" w:hAnsiTheme="minorHAnsi" w:cstheme="minorHAnsi"/>
          <w:b/>
          <w:sz w:val="24"/>
          <w:szCs w:val="24"/>
        </w:rPr>
        <w:t>.</w:t>
      </w:r>
    </w:p>
    <w:p w14:paraId="57495421" w14:textId="3871B996" w:rsidR="004D242F" w:rsidRPr="009245EF" w:rsidRDefault="00676199" w:rsidP="00695E4A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199">
        <w:rPr>
          <w:rFonts w:asciiTheme="minorHAnsi" w:hAnsiTheme="minorHAnsi" w:cstheme="minorHAnsi"/>
          <w:sz w:val="24"/>
          <w:szCs w:val="24"/>
        </w:rPr>
        <w:t>What is the maximum occupancy of each house? </w:t>
      </w:r>
      <w:r w:rsidR="008D0B54" w:rsidRPr="00D2188C">
        <w:rPr>
          <w:rFonts w:asciiTheme="minorHAnsi" w:hAnsiTheme="minorHAnsi" w:cstheme="minorHAnsi"/>
          <w:sz w:val="24"/>
          <w:szCs w:val="24"/>
        </w:rPr>
        <w:t> </w:t>
      </w:r>
    </w:p>
    <w:p w14:paraId="6E3F33F5" w14:textId="1EC117D6" w:rsidR="004D242F" w:rsidRPr="00A2615E" w:rsidRDefault="00A07769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The larger house occupancy is 6, the second house occupancy is 4.</w:t>
      </w:r>
    </w:p>
    <w:p w14:paraId="4803E412" w14:textId="407BEF8B" w:rsidR="0091106A" w:rsidRPr="0091106A" w:rsidRDefault="0091106A" w:rsidP="0091106A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1106A">
        <w:rPr>
          <w:rFonts w:asciiTheme="minorHAnsi" w:hAnsiTheme="minorHAnsi" w:cstheme="minorHAnsi"/>
          <w:sz w:val="24"/>
          <w:szCs w:val="24"/>
        </w:rPr>
        <w:t>The budget form on pg</w:t>
      </w:r>
      <w:r w:rsidR="00FF477E">
        <w:rPr>
          <w:rFonts w:asciiTheme="minorHAnsi" w:hAnsiTheme="minorHAnsi" w:cstheme="minorHAnsi"/>
          <w:sz w:val="24"/>
          <w:szCs w:val="24"/>
        </w:rPr>
        <w:t>.</w:t>
      </w:r>
      <w:r w:rsidRPr="0091106A">
        <w:rPr>
          <w:rFonts w:asciiTheme="minorHAnsi" w:hAnsiTheme="minorHAnsi" w:cstheme="minorHAnsi"/>
          <w:sz w:val="24"/>
          <w:szCs w:val="24"/>
        </w:rPr>
        <w:t xml:space="preserve"> 19 says the contract period is from July 1, 2023 to June 30, 2025.</w:t>
      </w:r>
    </w:p>
    <w:p w14:paraId="09B93BF6" w14:textId="7DE985A8" w:rsidR="004D242F" w:rsidRPr="00FF477E" w:rsidRDefault="0091106A" w:rsidP="00FF477E">
      <w:pPr>
        <w:spacing w:after="60"/>
        <w:ind w:left="720"/>
        <w:rPr>
          <w:rFonts w:asciiTheme="minorHAnsi" w:hAnsiTheme="minorHAnsi" w:cstheme="minorHAnsi"/>
          <w:sz w:val="24"/>
          <w:szCs w:val="24"/>
        </w:rPr>
      </w:pPr>
      <w:r w:rsidRPr="0091106A">
        <w:rPr>
          <w:rFonts w:asciiTheme="minorHAnsi" w:hAnsiTheme="minorHAnsi" w:cstheme="minorHAnsi"/>
          <w:sz w:val="24"/>
          <w:szCs w:val="24"/>
        </w:rPr>
        <w:t>Please clarify.</w:t>
      </w:r>
      <w:r w:rsidR="008D0B54" w:rsidRPr="00D2188C">
        <w:rPr>
          <w:rFonts w:asciiTheme="minorHAnsi" w:hAnsiTheme="minorHAnsi" w:cstheme="minorHAnsi"/>
          <w:sz w:val="24"/>
          <w:szCs w:val="24"/>
        </w:rPr>
        <w:t> </w:t>
      </w:r>
    </w:p>
    <w:p w14:paraId="022E3A11" w14:textId="6B6CD0A1" w:rsidR="00CA625D" w:rsidRDefault="005A2D5E" w:rsidP="00A16BA2">
      <w:pPr>
        <w:pStyle w:val="ListParagraph"/>
        <w:numPr>
          <w:ilvl w:val="1"/>
          <w:numId w:val="1"/>
        </w:numPr>
        <w:ind w:left="720" w:hanging="720"/>
        <w:rPr>
          <w:rFonts w:eastAsia="Times New Roman" w:cstheme="minorHAnsi"/>
          <w:b/>
          <w:sz w:val="24"/>
          <w:szCs w:val="24"/>
        </w:rPr>
      </w:pPr>
      <w:bookmarkStart w:id="0" w:name="_Hlk152165502"/>
      <w:r>
        <w:rPr>
          <w:rFonts w:eastAsia="Times New Roman" w:cstheme="minorHAnsi"/>
          <w:b/>
          <w:sz w:val="24"/>
          <w:szCs w:val="24"/>
        </w:rPr>
        <w:t>Page 27</w:t>
      </w:r>
      <w:r w:rsidR="00941D91">
        <w:rPr>
          <w:rFonts w:eastAsia="Times New Roman" w:cstheme="minorHAnsi"/>
          <w:b/>
          <w:sz w:val="24"/>
          <w:szCs w:val="24"/>
        </w:rPr>
        <w:t xml:space="preserve"> of the RFP, Section </w:t>
      </w:r>
      <w:r w:rsidR="00397667">
        <w:rPr>
          <w:rFonts w:eastAsia="Times New Roman" w:cstheme="minorHAnsi"/>
          <w:b/>
          <w:sz w:val="24"/>
          <w:szCs w:val="24"/>
        </w:rPr>
        <w:t xml:space="preserve">III (County Procedures, Terms, and Conditions), </w:t>
      </w:r>
      <w:r w:rsidR="00814148">
        <w:rPr>
          <w:rFonts w:eastAsia="Times New Roman" w:cstheme="minorHAnsi"/>
          <w:b/>
          <w:sz w:val="24"/>
          <w:szCs w:val="24"/>
        </w:rPr>
        <w:t>Item E(1) (Term/Termination</w:t>
      </w:r>
      <w:r w:rsidR="00CA625D">
        <w:rPr>
          <w:rFonts w:eastAsia="Times New Roman" w:cstheme="minorHAnsi"/>
          <w:b/>
          <w:sz w:val="24"/>
          <w:szCs w:val="24"/>
        </w:rPr>
        <w:t>/</w:t>
      </w:r>
      <w:r w:rsidR="00814148">
        <w:rPr>
          <w:rFonts w:eastAsia="Times New Roman" w:cstheme="minorHAnsi"/>
          <w:b/>
          <w:sz w:val="24"/>
          <w:szCs w:val="24"/>
        </w:rPr>
        <w:t xml:space="preserve">Renewal) </w:t>
      </w:r>
      <w:r w:rsidR="00CA625D">
        <w:rPr>
          <w:rFonts w:eastAsia="Times New Roman" w:cstheme="minorHAnsi"/>
          <w:b/>
          <w:sz w:val="24"/>
          <w:szCs w:val="24"/>
        </w:rPr>
        <w:t>state</w:t>
      </w:r>
      <w:r w:rsidR="00875677">
        <w:rPr>
          <w:rFonts w:eastAsia="Times New Roman" w:cstheme="minorHAnsi"/>
          <w:b/>
          <w:sz w:val="24"/>
          <w:szCs w:val="24"/>
        </w:rPr>
        <w:t>s</w:t>
      </w:r>
      <w:r w:rsidR="00CA625D">
        <w:rPr>
          <w:rFonts w:eastAsia="Times New Roman" w:cstheme="minorHAnsi"/>
          <w:b/>
          <w:sz w:val="24"/>
          <w:szCs w:val="24"/>
        </w:rPr>
        <w:t>:</w:t>
      </w:r>
      <w:bookmarkEnd w:id="0"/>
      <w:r w:rsidR="00CA625D">
        <w:rPr>
          <w:rFonts w:eastAsia="Times New Roman" w:cstheme="minorHAnsi"/>
          <w:b/>
          <w:sz w:val="24"/>
          <w:szCs w:val="24"/>
        </w:rPr>
        <w:t xml:space="preserve"> </w:t>
      </w:r>
      <w:r w:rsidR="00D80536">
        <w:rPr>
          <w:rFonts w:eastAsia="Times New Roman" w:cstheme="minorHAnsi"/>
          <w:b/>
          <w:sz w:val="24"/>
          <w:szCs w:val="24"/>
        </w:rPr>
        <w:t>“</w:t>
      </w:r>
      <w:r w:rsidR="00A16BA2" w:rsidRPr="00A16BA2">
        <w:rPr>
          <w:rFonts w:eastAsia="Times New Roman" w:cstheme="minorHAnsi"/>
          <w:b/>
          <w:sz w:val="24"/>
          <w:szCs w:val="24"/>
        </w:rPr>
        <w:t>The term of the contract, which may be awarded pursuant to this RFP, will be two (2) fiscal years.</w:t>
      </w:r>
      <w:r w:rsidR="00D80536">
        <w:rPr>
          <w:rFonts w:eastAsia="Times New Roman" w:cstheme="minorHAnsi"/>
          <w:b/>
          <w:sz w:val="24"/>
          <w:szCs w:val="24"/>
        </w:rPr>
        <w:t>”</w:t>
      </w:r>
    </w:p>
    <w:p w14:paraId="4D390719" w14:textId="77777777" w:rsidR="00CA625D" w:rsidRDefault="00CA625D" w:rsidP="00CA625D">
      <w:pPr>
        <w:pStyle w:val="ListParagraph"/>
        <w:rPr>
          <w:rFonts w:eastAsia="Times New Roman" w:cstheme="minorHAnsi"/>
          <w:b/>
          <w:sz w:val="24"/>
          <w:szCs w:val="24"/>
        </w:rPr>
      </w:pPr>
    </w:p>
    <w:p w14:paraId="5F9DF885" w14:textId="753A440C" w:rsidR="00AA04E4" w:rsidRPr="00695E4A" w:rsidRDefault="00511A4C" w:rsidP="00695E4A">
      <w:pPr>
        <w:pStyle w:val="ListParagrap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The </w:t>
      </w:r>
      <w:r w:rsidR="003F57D0">
        <w:rPr>
          <w:rFonts w:eastAsia="Times New Roman" w:cstheme="minorHAnsi"/>
          <w:b/>
          <w:sz w:val="24"/>
          <w:szCs w:val="24"/>
        </w:rPr>
        <w:t xml:space="preserve">submitted </w:t>
      </w:r>
      <w:r>
        <w:rPr>
          <w:rFonts w:eastAsia="Times New Roman" w:cstheme="minorHAnsi"/>
          <w:b/>
          <w:sz w:val="24"/>
          <w:szCs w:val="24"/>
        </w:rPr>
        <w:t xml:space="preserve">budget form </w:t>
      </w:r>
      <w:r w:rsidR="00150C4C">
        <w:rPr>
          <w:rFonts w:eastAsia="Times New Roman" w:cstheme="minorHAnsi"/>
          <w:b/>
          <w:sz w:val="24"/>
          <w:szCs w:val="24"/>
        </w:rPr>
        <w:t>mus</w:t>
      </w:r>
      <w:r w:rsidR="003F57D0">
        <w:rPr>
          <w:rFonts w:eastAsia="Times New Roman" w:cstheme="minorHAnsi"/>
          <w:b/>
          <w:sz w:val="24"/>
          <w:szCs w:val="24"/>
        </w:rPr>
        <w:t xml:space="preserve">t </w:t>
      </w:r>
      <w:r w:rsidR="00AA2B71">
        <w:rPr>
          <w:rFonts w:eastAsia="Times New Roman" w:cstheme="minorHAnsi"/>
          <w:b/>
          <w:sz w:val="24"/>
          <w:szCs w:val="24"/>
        </w:rPr>
        <w:t xml:space="preserve">include </w:t>
      </w:r>
      <w:r w:rsidR="00FC15FF">
        <w:rPr>
          <w:rFonts w:eastAsia="Times New Roman" w:cstheme="minorHAnsi"/>
          <w:b/>
          <w:sz w:val="24"/>
          <w:szCs w:val="24"/>
        </w:rPr>
        <w:t xml:space="preserve">an estimated budget for </w:t>
      </w:r>
      <w:r w:rsidR="004620F4">
        <w:rPr>
          <w:rFonts w:eastAsia="Times New Roman" w:cstheme="minorHAnsi"/>
          <w:b/>
          <w:sz w:val="24"/>
          <w:szCs w:val="24"/>
        </w:rPr>
        <w:t xml:space="preserve">both </w:t>
      </w:r>
      <w:r w:rsidR="00FC15FF">
        <w:rPr>
          <w:rFonts w:eastAsia="Times New Roman" w:cstheme="minorHAnsi"/>
          <w:b/>
          <w:sz w:val="24"/>
          <w:szCs w:val="24"/>
        </w:rPr>
        <w:t>years of</w:t>
      </w:r>
      <w:r w:rsidR="003F57D0">
        <w:rPr>
          <w:rFonts w:eastAsia="Times New Roman" w:cstheme="minorHAnsi"/>
          <w:b/>
          <w:sz w:val="24"/>
          <w:szCs w:val="24"/>
        </w:rPr>
        <w:t xml:space="preserve"> the</w:t>
      </w:r>
      <w:r w:rsidR="00150C4C">
        <w:rPr>
          <w:rFonts w:eastAsia="Times New Roman" w:cstheme="minorHAnsi"/>
          <w:b/>
          <w:sz w:val="24"/>
          <w:szCs w:val="24"/>
        </w:rPr>
        <w:t xml:space="preserve"> two-year contract period.</w:t>
      </w:r>
    </w:p>
    <w:p w14:paraId="3A8F4276" w14:textId="1362E9A7" w:rsidR="00CD3355" w:rsidRPr="00CD3355" w:rsidRDefault="00CD3355" w:rsidP="00695E4A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3355">
        <w:rPr>
          <w:rFonts w:asciiTheme="minorHAnsi" w:hAnsiTheme="minorHAnsi" w:cstheme="minorHAnsi"/>
          <w:sz w:val="24"/>
          <w:szCs w:val="24"/>
        </w:rPr>
        <w:lastRenderedPageBreak/>
        <w:t>Is there design or programming consideration for youth that may stay beyond 72 hours?</w:t>
      </w:r>
      <w:r w:rsidR="008D0B54">
        <w:rPr>
          <w:rFonts w:asciiTheme="minorHAnsi" w:hAnsiTheme="minorHAnsi" w:cstheme="minorHAnsi"/>
          <w:sz w:val="24"/>
          <w:szCs w:val="24"/>
        </w:rPr>
        <w:t xml:space="preserve"> </w:t>
      </w:r>
      <w:r w:rsidR="008D0B54" w:rsidRPr="00D2188C">
        <w:rPr>
          <w:rFonts w:asciiTheme="minorHAnsi" w:hAnsiTheme="minorHAnsi" w:cstheme="minorHAnsi"/>
          <w:sz w:val="24"/>
          <w:szCs w:val="24"/>
        </w:rPr>
        <w:t> </w:t>
      </w:r>
    </w:p>
    <w:p w14:paraId="0C68DE72" w14:textId="55EFF987" w:rsidR="004D242F" w:rsidRPr="00695E4A" w:rsidRDefault="00CD3355" w:rsidP="00695E4A">
      <w:pPr>
        <w:shd w:val="clear" w:color="auto" w:fill="FFFFFF" w:themeFill="background1"/>
        <w:spacing w:after="60"/>
        <w:ind w:left="720"/>
        <w:rPr>
          <w:rFonts w:asciiTheme="minorHAnsi" w:hAnsiTheme="minorHAnsi" w:cstheme="minorHAnsi"/>
          <w:sz w:val="24"/>
          <w:szCs w:val="24"/>
        </w:rPr>
      </w:pPr>
      <w:r w:rsidRPr="00CD3355">
        <w:rPr>
          <w:rFonts w:asciiTheme="minorHAnsi" w:hAnsiTheme="minorHAnsi" w:cstheme="minorHAnsi"/>
          <w:sz w:val="24"/>
          <w:szCs w:val="24"/>
        </w:rPr>
        <w:t>For example, is the provider expected to take youth to school, religious services, etc.? If so, should we include these as expenditures? </w:t>
      </w:r>
    </w:p>
    <w:p w14:paraId="2F347840" w14:textId="334492FA" w:rsidR="004D242F" w:rsidRPr="00A2615E" w:rsidRDefault="00D80536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Your organization may include e</w:t>
      </w:r>
      <w:r w:rsidR="00A07769">
        <w:rPr>
          <w:rFonts w:asciiTheme="minorHAnsi" w:hAnsiTheme="minorHAnsi" w:cstheme="minorHAnsi"/>
          <w:b/>
          <w:sz w:val="24"/>
          <w:szCs w:val="24"/>
        </w:rPr>
        <w:t>xpenditures for enrichment activities (e.g. gardening, outdoor activities, educational support, etc.)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07769">
        <w:rPr>
          <w:rFonts w:asciiTheme="minorHAnsi" w:hAnsiTheme="minorHAnsi" w:cstheme="minorHAnsi"/>
          <w:b/>
          <w:sz w:val="24"/>
          <w:szCs w:val="24"/>
        </w:rPr>
        <w:t>If a youth is enrolled in school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="00A07769">
        <w:rPr>
          <w:rFonts w:asciiTheme="minorHAnsi" w:hAnsiTheme="minorHAnsi" w:cstheme="minorHAnsi"/>
          <w:b/>
          <w:sz w:val="24"/>
          <w:szCs w:val="24"/>
        </w:rPr>
        <w:t xml:space="preserve"> transportation </w:t>
      </w:r>
      <w:r w:rsidR="00A07769" w:rsidRPr="00A07769">
        <w:rPr>
          <w:rFonts w:asciiTheme="minorHAnsi" w:hAnsiTheme="minorHAnsi" w:cstheme="minorHAnsi"/>
          <w:b/>
          <w:i/>
          <w:sz w:val="24"/>
          <w:szCs w:val="24"/>
        </w:rPr>
        <w:t>may</w:t>
      </w:r>
      <w:r w:rsidR="00A07769">
        <w:rPr>
          <w:rFonts w:asciiTheme="minorHAnsi" w:hAnsiTheme="minorHAnsi" w:cstheme="minorHAnsi"/>
          <w:b/>
          <w:sz w:val="24"/>
          <w:szCs w:val="24"/>
        </w:rPr>
        <w:t xml:space="preserve"> be required. However, it is likely support for online school will be needed.</w:t>
      </w:r>
    </w:p>
    <w:p w14:paraId="06BFCFCA" w14:textId="7012D142" w:rsidR="000D2677" w:rsidRPr="000D2677" w:rsidRDefault="000D2677" w:rsidP="000D2677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0D2677">
        <w:rPr>
          <w:rFonts w:asciiTheme="minorHAnsi" w:hAnsiTheme="minorHAnsi" w:cstheme="minorHAnsi"/>
          <w:sz w:val="24"/>
          <w:szCs w:val="24"/>
        </w:rPr>
        <w:t>Indirect costs tend to be 15-18%. Is the 10% limit subject to negotiation? Is this a</w:t>
      </w:r>
    </w:p>
    <w:p w14:paraId="4356044E" w14:textId="4E48EF3F" w:rsidR="00695E4A" w:rsidRPr="000D2677" w:rsidRDefault="000D2677" w:rsidP="00695E4A">
      <w:pPr>
        <w:spacing w:after="60"/>
        <w:ind w:firstLine="720"/>
        <w:rPr>
          <w:rFonts w:asciiTheme="minorHAnsi" w:hAnsiTheme="minorHAnsi" w:cstheme="minorHAnsi"/>
          <w:sz w:val="24"/>
          <w:szCs w:val="24"/>
        </w:rPr>
      </w:pPr>
      <w:r w:rsidRPr="000D2677">
        <w:rPr>
          <w:rFonts w:asciiTheme="minorHAnsi" w:hAnsiTheme="minorHAnsi" w:cstheme="minorHAnsi"/>
          <w:sz w:val="24"/>
          <w:szCs w:val="24"/>
        </w:rPr>
        <w:t>county, state or federal limitation</w:t>
      </w:r>
      <w:r w:rsidR="00EB7799">
        <w:rPr>
          <w:rFonts w:asciiTheme="minorHAnsi" w:hAnsiTheme="minorHAnsi" w:cstheme="minorHAnsi"/>
          <w:sz w:val="24"/>
          <w:szCs w:val="24"/>
        </w:rPr>
        <w:t>?</w:t>
      </w:r>
    </w:p>
    <w:p w14:paraId="45FF2C50" w14:textId="724EC92C" w:rsidR="000D4C47" w:rsidRPr="002351DC" w:rsidRDefault="002351DC" w:rsidP="002351DC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4C4CD0">
        <w:rPr>
          <w:rFonts w:ascii="Calibri" w:hAnsi="Calibri" w:cs="Calibri"/>
          <w:b/>
          <w:bCs/>
          <w:sz w:val="24"/>
          <w:szCs w:val="24"/>
        </w:rPr>
        <w:t>If you have a letter from the federal government approving a federally qualified rate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2433">
        <w:rPr>
          <w:rFonts w:ascii="Calibri" w:hAnsi="Calibri" w:cs="Calibri"/>
          <w:b/>
          <w:bCs/>
          <w:sz w:val="24"/>
          <w:szCs w:val="24"/>
        </w:rPr>
        <w:t xml:space="preserve">that is higher than 10% </w:t>
      </w:r>
      <w:r>
        <w:rPr>
          <w:rFonts w:ascii="Calibri" w:hAnsi="Calibri" w:cs="Calibri"/>
          <w:b/>
          <w:bCs/>
          <w:sz w:val="24"/>
          <w:szCs w:val="24"/>
        </w:rPr>
        <w:t>or a letter from another government agency, we will honor that written documentation. Another option is</w:t>
      </w:r>
      <w:r w:rsidRPr="004C4CD0">
        <w:rPr>
          <w:rFonts w:ascii="Calibri" w:hAnsi="Calibri" w:cs="Calibri"/>
          <w:b/>
          <w:bCs/>
          <w:sz w:val="24"/>
          <w:szCs w:val="24"/>
        </w:rPr>
        <w:t xml:space="preserve"> to submit </w:t>
      </w:r>
      <w:r>
        <w:rPr>
          <w:rFonts w:ascii="Calibri" w:hAnsi="Calibri" w:cs="Calibri"/>
          <w:b/>
          <w:bCs/>
          <w:sz w:val="24"/>
          <w:szCs w:val="24"/>
        </w:rPr>
        <w:t xml:space="preserve">financial </w:t>
      </w:r>
      <w:r w:rsidRPr="004C4CD0">
        <w:rPr>
          <w:rFonts w:ascii="Calibri" w:hAnsi="Calibri" w:cs="Calibri"/>
          <w:b/>
          <w:bCs/>
          <w:sz w:val="24"/>
          <w:szCs w:val="24"/>
        </w:rPr>
        <w:t xml:space="preserve">documentation </w:t>
      </w:r>
      <w:r>
        <w:rPr>
          <w:rFonts w:ascii="Calibri" w:hAnsi="Calibri" w:cs="Calibri"/>
          <w:b/>
          <w:bCs/>
          <w:sz w:val="24"/>
          <w:szCs w:val="24"/>
        </w:rPr>
        <w:t xml:space="preserve">during contract negotiations </w:t>
      </w:r>
      <w:r w:rsidRPr="004C4CD0">
        <w:rPr>
          <w:rFonts w:ascii="Calibri" w:hAnsi="Calibri" w:cs="Calibri"/>
          <w:b/>
          <w:bCs/>
          <w:sz w:val="24"/>
          <w:szCs w:val="24"/>
        </w:rPr>
        <w:t xml:space="preserve">to identify how </w:t>
      </w:r>
      <w:r>
        <w:rPr>
          <w:rFonts w:ascii="Calibri" w:hAnsi="Calibri" w:cs="Calibri"/>
          <w:b/>
          <w:bCs/>
          <w:sz w:val="24"/>
          <w:szCs w:val="24"/>
        </w:rPr>
        <w:t>a higher indirect</w:t>
      </w:r>
      <w:r w:rsidRPr="004C4CD0">
        <w:rPr>
          <w:rFonts w:ascii="Calibri" w:hAnsi="Calibri" w:cs="Calibri"/>
          <w:b/>
          <w:bCs/>
          <w:sz w:val="24"/>
          <w:szCs w:val="24"/>
        </w:rPr>
        <w:t xml:space="preserve"> rate was calculated.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D4C47" w:rsidRPr="002351DC">
        <w:rPr>
          <w:rFonts w:ascii="Calibri" w:hAnsi="Calibri" w:cs="Calibri"/>
          <w:sz w:val="24"/>
          <w:szCs w:val="24"/>
        </w:rPr>
        <w:tab/>
      </w:r>
    </w:p>
    <w:p w14:paraId="70231C16" w14:textId="4A7DD833" w:rsidR="004D242F" w:rsidRPr="00A2615E" w:rsidRDefault="00C64E77" w:rsidP="00CD5814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using an alternative to ProAct, what are the requirements for an alternative model?</w:t>
      </w:r>
      <w:r w:rsidR="008D0B54">
        <w:rPr>
          <w:rFonts w:ascii="Calibri" w:hAnsi="Calibri" w:cs="Calibri"/>
          <w:sz w:val="24"/>
          <w:szCs w:val="24"/>
        </w:rPr>
        <w:t xml:space="preserve"> </w:t>
      </w:r>
    </w:p>
    <w:p w14:paraId="3711C180" w14:textId="72AFAFBB" w:rsidR="004D242F" w:rsidRPr="00A2615E" w:rsidRDefault="00143AFA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The County </w:t>
      </w:r>
      <w:r w:rsidR="002C1135">
        <w:rPr>
          <w:rFonts w:ascii="Calibri" w:hAnsi="Calibri" w:cs="Calibri"/>
          <w:b/>
          <w:sz w:val="24"/>
          <w:szCs w:val="24"/>
        </w:rPr>
        <w:t>is</w:t>
      </w:r>
      <w:r>
        <w:rPr>
          <w:rFonts w:ascii="Calibri" w:hAnsi="Calibri" w:cs="Calibri"/>
          <w:b/>
          <w:sz w:val="24"/>
          <w:szCs w:val="24"/>
        </w:rPr>
        <w:t xml:space="preserve"> looking</w:t>
      </w:r>
      <w:r w:rsidRPr="00143AFA">
        <w:rPr>
          <w:rFonts w:ascii="Calibri" w:hAnsi="Calibri" w:cs="Calibri"/>
          <w:b/>
          <w:sz w:val="24"/>
          <w:szCs w:val="24"/>
        </w:rPr>
        <w:t xml:space="preserve"> to make sure that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43AFA">
        <w:rPr>
          <w:rFonts w:ascii="Calibri" w:hAnsi="Calibri" w:cs="Calibri"/>
          <w:b/>
          <w:sz w:val="24"/>
          <w:szCs w:val="24"/>
        </w:rPr>
        <w:t xml:space="preserve">given the population we work with at the </w:t>
      </w:r>
      <w:r>
        <w:rPr>
          <w:rFonts w:ascii="Calibri" w:hAnsi="Calibri" w:cs="Calibri"/>
          <w:b/>
          <w:sz w:val="24"/>
          <w:szCs w:val="24"/>
        </w:rPr>
        <w:t>A</w:t>
      </w:r>
      <w:r w:rsidRPr="00143AFA">
        <w:rPr>
          <w:rFonts w:ascii="Calibri" w:hAnsi="Calibri" w:cs="Calibri"/>
          <w:b/>
          <w:sz w:val="24"/>
          <w:szCs w:val="24"/>
        </w:rPr>
        <w:t xml:space="preserve">ssessment </w:t>
      </w:r>
      <w:r>
        <w:rPr>
          <w:rFonts w:ascii="Calibri" w:hAnsi="Calibri" w:cs="Calibri"/>
          <w:b/>
          <w:sz w:val="24"/>
          <w:szCs w:val="24"/>
        </w:rPr>
        <w:t>C</w:t>
      </w:r>
      <w:r w:rsidRPr="00143AFA">
        <w:rPr>
          <w:rFonts w:ascii="Calibri" w:hAnsi="Calibri" w:cs="Calibri"/>
          <w:b/>
          <w:sz w:val="24"/>
          <w:szCs w:val="24"/>
        </w:rPr>
        <w:t>enter, staff are trained and feel comfortable responding to escalations</w:t>
      </w:r>
      <w:r w:rsidR="00261950">
        <w:rPr>
          <w:rFonts w:ascii="Calibri" w:hAnsi="Calibri" w:cs="Calibri"/>
          <w:b/>
          <w:sz w:val="24"/>
          <w:szCs w:val="24"/>
        </w:rPr>
        <w:t xml:space="preserve"> with crisis communication such as </w:t>
      </w:r>
      <w:r w:rsidR="00674BC8" w:rsidRPr="00674BC8">
        <w:rPr>
          <w:rFonts w:ascii="Calibri" w:hAnsi="Calibri" w:cs="Calibri"/>
          <w:b/>
          <w:sz w:val="24"/>
          <w:szCs w:val="24"/>
        </w:rPr>
        <w:t>behavioral techniques</w:t>
      </w:r>
      <w:r w:rsidR="005752D8">
        <w:rPr>
          <w:rFonts w:ascii="Calibri" w:hAnsi="Calibri" w:cs="Calibri"/>
          <w:b/>
          <w:sz w:val="24"/>
          <w:szCs w:val="24"/>
        </w:rPr>
        <w:t xml:space="preserve"> and self-</w:t>
      </w:r>
      <w:r w:rsidR="00674BC8">
        <w:rPr>
          <w:rFonts w:ascii="Calibri" w:hAnsi="Calibri" w:cs="Calibri"/>
          <w:b/>
          <w:sz w:val="24"/>
          <w:szCs w:val="24"/>
        </w:rPr>
        <w:t>protection in the case of physical threat</w:t>
      </w:r>
      <w:r w:rsidR="005752D8">
        <w:rPr>
          <w:rFonts w:ascii="Calibri" w:hAnsi="Calibri" w:cs="Calibri"/>
          <w:b/>
          <w:sz w:val="24"/>
          <w:szCs w:val="24"/>
        </w:rPr>
        <w:t>.</w:t>
      </w:r>
    </w:p>
    <w:p w14:paraId="3F391AC6" w14:textId="58DBE7E7" w:rsidR="004D242F" w:rsidRPr="008E5552" w:rsidRDefault="008E5552" w:rsidP="008E5552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8E5552">
        <w:rPr>
          <w:rFonts w:ascii="Calibri" w:hAnsi="Calibri" w:cs="Calibri"/>
          <w:bCs/>
          <w:sz w:val="24"/>
          <w:szCs w:val="24"/>
        </w:rPr>
        <w:t>Can references include partner organizations that can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8E5552">
        <w:rPr>
          <w:rFonts w:ascii="Calibri" w:hAnsi="Calibri" w:cs="Calibri"/>
          <w:bCs/>
          <w:sz w:val="24"/>
          <w:szCs w:val="24"/>
        </w:rPr>
        <w:t>attest to our work but for whom we do not provide services, e.g. a community-based partner but not a contracting agency? “References should be able to address and describe their knowledge of your organization’s ability to provide the services listed in the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8E5552">
        <w:rPr>
          <w:rFonts w:ascii="Calibri" w:hAnsi="Calibri" w:cs="Calibri"/>
          <w:bCs/>
          <w:sz w:val="24"/>
          <w:szCs w:val="24"/>
        </w:rPr>
        <w:t>RFP. Services or goods provided by Bidder to the references should have similar scope, volume and requirements to those outlined in these specifications, terms and conditions”.</w:t>
      </w:r>
      <w:r w:rsidR="008D0B54">
        <w:rPr>
          <w:rFonts w:ascii="Calibri" w:hAnsi="Calibri" w:cs="Calibri"/>
          <w:bCs/>
          <w:sz w:val="24"/>
          <w:szCs w:val="24"/>
        </w:rPr>
        <w:t xml:space="preserve"> </w:t>
      </w:r>
    </w:p>
    <w:p w14:paraId="7C64C698" w14:textId="169572CB" w:rsidR="004D242F" w:rsidRPr="00A4220B" w:rsidRDefault="00A4220B" w:rsidP="00A4220B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Yes, </w:t>
      </w:r>
      <w:r w:rsidRPr="007D2167">
        <w:rPr>
          <w:rFonts w:ascii="Calibri" w:hAnsi="Calibri" w:cs="Calibri"/>
          <w:b/>
          <w:sz w:val="24"/>
          <w:szCs w:val="24"/>
        </w:rPr>
        <w:t xml:space="preserve">references </w:t>
      </w:r>
      <w:r>
        <w:rPr>
          <w:rFonts w:ascii="Calibri" w:hAnsi="Calibri" w:cs="Calibri"/>
          <w:b/>
          <w:sz w:val="24"/>
          <w:szCs w:val="24"/>
        </w:rPr>
        <w:t xml:space="preserve">can </w:t>
      </w:r>
      <w:r w:rsidRPr="007D2167">
        <w:rPr>
          <w:rFonts w:ascii="Calibri" w:hAnsi="Calibri" w:cs="Calibri"/>
          <w:b/>
          <w:sz w:val="24"/>
          <w:szCs w:val="24"/>
        </w:rPr>
        <w:t>include community</w:t>
      </w:r>
      <w:r w:rsidR="000634FB">
        <w:rPr>
          <w:rFonts w:ascii="Calibri" w:hAnsi="Calibri" w:cs="Calibri"/>
          <w:b/>
          <w:sz w:val="24"/>
          <w:szCs w:val="24"/>
        </w:rPr>
        <w:t xml:space="preserve"> </w:t>
      </w:r>
      <w:r w:rsidRPr="007D2167">
        <w:rPr>
          <w:rFonts w:ascii="Calibri" w:hAnsi="Calibri" w:cs="Calibri"/>
          <w:b/>
          <w:sz w:val="24"/>
          <w:szCs w:val="24"/>
        </w:rPr>
        <w:t xml:space="preserve">based organizations or foundations that can attest to </w:t>
      </w:r>
      <w:r>
        <w:rPr>
          <w:rFonts w:ascii="Calibri" w:hAnsi="Calibri" w:cs="Calibri"/>
          <w:b/>
          <w:sz w:val="24"/>
          <w:szCs w:val="24"/>
        </w:rPr>
        <w:t>your organization’s</w:t>
      </w:r>
      <w:r w:rsidRPr="007D2167">
        <w:rPr>
          <w:rFonts w:ascii="Calibri" w:hAnsi="Calibri" w:cs="Calibri"/>
          <w:b/>
          <w:sz w:val="24"/>
          <w:szCs w:val="24"/>
        </w:rPr>
        <w:t xml:space="preserve"> work</w:t>
      </w:r>
      <w:r>
        <w:rPr>
          <w:rFonts w:ascii="Calibri" w:hAnsi="Calibri" w:cs="Calibri"/>
          <w:b/>
          <w:sz w:val="24"/>
          <w:szCs w:val="24"/>
        </w:rPr>
        <w:t xml:space="preserve">, even if they are not </w:t>
      </w:r>
      <w:r w:rsidRPr="00B66347">
        <w:rPr>
          <w:rFonts w:ascii="Calibri" w:hAnsi="Calibri" w:cs="Calibri"/>
          <w:b/>
          <w:sz w:val="24"/>
          <w:szCs w:val="24"/>
        </w:rPr>
        <w:t>contracting agencies for whom your organization has provided services</w:t>
      </w:r>
      <w:r w:rsidR="005E7B2E">
        <w:rPr>
          <w:rFonts w:ascii="Calibri" w:hAnsi="Calibri" w:cs="Calibri"/>
          <w:b/>
          <w:sz w:val="24"/>
          <w:szCs w:val="24"/>
        </w:rPr>
        <w:t>.</w:t>
      </w:r>
    </w:p>
    <w:p w14:paraId="20FA949D" w14:textId="59DF21EE" w:rsidR="00511D0F" w:rsidRPr="00F52E13" w:rsidRDefault="00511D0F" w:rsidP="00695E4A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511D0F">
        <w:rPr>
          <w:rFonts w:ascii="Calibri" w:hAnsi="Calibri" w:cs="Calibri"/>
          <w:bCs/>
          <w:sz w:val="24"/>
          <w:szCs w:val="24"/>
        </w:rPr>
        <w:t>% of youth who exited to appropriate housing type - provider does not have placing authority</w:t>
      </w:r>
      <w:r w:rsidR="00F52E13">
        <w:rPr>
          <w:rFonts w:ascii="Calibri" w:hAnsi="Calibri" w:cs="Calibri"/>
          <w:bCs/>
          <w:sz w:val="24"/>
          <w:szCs w:val="24"/>
        </w:rPr>
        <w:t xml:space="preserve"> </w:t>
      </w:r>
      <w:r w:rsidRPr="00F52E13">
        <w:rPr>
          <w:rFonts w:ascii="Calibri" w:hAnsi="Calibri" w:cs="Calibri"/>
          <w:bCs/>
          <w:sz w:val="24"/>
          <w:szCs w:val="24"/>
        </w:rPr>
        <w:t>(</w:t>
      </w:r>
      <w:r w:rsidR="00640F1F">
        <w:rPr>
          <w:rFonts w:ascii="Calibri" w:hAnsi="Calibri" w:cs="Calibri"/>
          <w:bCs/>
          <w:sz w:val="24"/>
          <w:szCs w:val="24"/>
        </w:rPr>
        <w:t xml:space="preserve">is </w:t>
      </w:r>
      <w:r w:rsidR="00135723">
        <w:rPr>
          <w:rFonts w:ascii="Calibri" w:hAnsi="Calibri" w:cs="Calibri"/>
          <w:bCs/>
          <w:sz w:val="24"/>
          <w:szCs w:val="24"/>
        </w:rPr>
        <w:t>this referring to AWOLs)?</w:t>
      </w:r>
    </w:p>
    <w:p w14:paraId="7481709B" w14:textId="2502510B" w:rsidR="004D242F" w:rsidRPr="00024F88" w:rsidRDefault="00695E4A" w:rsidP="00695E4A">
      <w:pPr>
        <w:autoSpaceDE w:val="0"/>
        <w:autoSpaceDN w:val="0"/>
        <w:adjustRightInd w:val="0"/>
        <w:spacing w:after="360"/>
        <w:ind w:left="720" w:hanging="720"/>
        <w:rPr>
          <w:rFonts w:asciiTheme="minorHAnsi" w:hAnsiTheme="minorHAnsi" w:cstheme="minorHAnsi"/>
          <w:b/>
          <w:sz w:val="24"/>
          <w:szCs w:val="24"/>
          <w:highlight w:val="yellow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A10)    </w:t>
      </w:r>
      <w:r w:rsidR="00EB7799" w:rsidRPr="00EB7799">
        <w:rPr>
          <w:rFonts w:asciiTheme="minorHAnsi" w:hAnsiTheme="minorHAnsi" w:cstheme="minorHAnsi"/>
          <w:b/>
          <w:sz w:val="24"/>
          <w:szCs w:val="24"/>
        </w:rPr>
        <w:t>Contractor does not have placing authority, but contractor is expected to encourage youth to go to placement when identified</w:t>
      </w:r>
      <w:r w:rsidR="00EB7799">
        <w:rPr>
          <w:rFonts w:asciiTheme="minorHAnsi" w:hAnsiTheme="minorHAnsi" w:cstheme="minorHAnsi"/>
          <w:b/>
          <w:sz w:val="24"/>
          <w:szCs w:val="24"/>
        </w:rPr>
        <w:t>.</w:t>
      </w:r>
    </w:p>
    <w:p w14:paraId="3BC63923" w14:textId="77777777" w:rsidR="00B077AC" w:rsidRPr="00B077AC" w:rsidRDefault="00B077AC" w:rsidP="00EB7799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B077AC">
        <w:rPr>
          <w:rFonts w:ascii="Calibri" w:hAnsi="Calibri" w:cs="Calibri"/>
          <w:bCs/>
          <w:sz w:val="24"/>
          <w:szCs w:val="24"/>
        </w:rPr>
        <w:t>Target goal of 125 CANS completed: this is not described elsewhere in the RFP. Please</w:t>
      </w:r>
    </w:p>
    <w:p w14:paraId="24C9F1DB" w14:textId="35683F9A" w:rsidR="004D242F" w:rsidRPr="00EB7799" w:rsidRDefault="00B077AC" w:rsidP="00EB7799">
      <w:pPr>
        <w:shd w:val="clear" w:color="auto" w:fill="FFFFFF" w:themeFill="background1"/>
        <w:spacing w:after="60"/>
        <w:ind w:firstLine="720"/>
        <w:rPr>
          <w:rFonts w:ascii="Calibri" w:hAnsi="Calibri" w:cs="Calibri"/>
          <w:bCs/>
          <w:sz w:val="24"/>
          <w:szCs w:val="24"/>
        </w:rPr>
      </w:pPr>
      <w:r w:rsidRPr="00B077AC">
        <w:rPr>
          <w:rFonts w:ascii="Calibri" w:hAnsi="Calibri" w:cs="Calibri"/>
          <w:bCs/>
          <w:sz w:val="24"/>
          <w:szCs w:val="24"/>
        </w:rPr>
        <w:t xml:space="preserve">clarify. </w:t>
      </w:r>
    </w:p>
    <w:p w14:paraId="0834CDE4" w14:textId="74428ACC" w:rsidR="004D242F" w:rsidRPr="00024F88" w:rsidRDefault="00EB7799" w:rsidP="00EB7799">
      <w:pPr>
        <w:autoSpaceDE w:val="0"/>
        <w:autoSpaceDN w:val="0"/>
        <w:adjustRightInd w:val="0"/>
        <w:spacing w:after="360"/>
        <w:ind w:left="720" w:hanging="720"/>
        <w:rPr>
          <w:rFonts w:asciiTheme="minorHAnsi" w:hAnsiTheme="minorHAnsi" w:cstheme="minorHAnsi"/>
          <w:b/>
          <w:sz w:val="24"/>
          <w:szCs w:val="24"/>
          <w:highlight w:val="yellow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A11)     </w:t>
      </w:r>
      <w:r w:rsidRPr="00EB7799">
        <w:rPr>
          <w:rFonts w:asciiTheme="minorHAnsi" w:hAnsiTheme="minorHAnsi" w:cstheme="minorHAnsi"/>
          <w:b/>
          <w:sz w:val="24"/>
          <w:szCs w:val="24"/>
        </w:rPr>
        <w:t>Page 13 of the RFP, Section II (Statement of Work), Item F (Deliverables/Reports), disclaimer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7799">
        <w:rPr>
          <w:rFonts w:asciiTheme="minorHAnsi" w:hAnsiTheme="minorHAnsi" w:cstheme="minorHAnsi"/>
          <w:b/>
          <w:sz w:val="24"/>
          <w:szCs w:val="24"/>
        </w:rPr>
        <w:t xml:space="preserve">statement below the RBA data table states: “Above are general performance measures </w:t>
      </w:r>
      <w:r w:rsidRPr="00EB7799">
        <w:rPr>
          <w:rFonts w:asciiTheme="minorHAnsi" w:hAnsiTheme="minorHAnsi" w:cstheme="minorHAnsi"/>
          <w:b/>
          <w:sz w:val="24"/>
          <w:szCs w:val="24"/>
        </w:rPr>
        <w:lastRenderedPageBreak/>
        <w:t>subject to modification once the Bidder is selected and the specific program design and interventions have been identified.”</w:t>
      </w:r>
    </w:p>
    <w:p w14:paraId="6CCB45EB" w14:textId="65E4044D" w:rsidR="004D242F" w:rsidRPr="00640A03" w:rsidRDefault="00EA5399" w:rsidP="00EB7799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640A03">
        <w:rPr>
          <w:rFonts w:ascii="Calibri" w:hAnsi="Calibri" w:cs="Calibri"/>
          <w:bCs/>
          <w:sz w:val="24"/>
          <w:szCs w:val="24"/>
        </w:rPr>
        <w:t xml:space="preserve">Youth who receive stabilization services within 15 days of the initial assessment. Stabilization services are not described elsewhere in the RFP. Should those be included in the budget? Please clarify.   </w:t>
      </w:r>
    </w:p>
    <w:p w14:paraId="1A52B8A2" w14:textId="4C229E16" w:rsidR="004D242F" w:rsidRPr="00A2615E" w:rsidRDefault="005752D8" w:rsidP="00EB7799">
      <w:p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A12</w:t>
      </w:r>
      <w:r w:rsidRPr="00EB7799">
        <w:rPr>
          <w:rFonts w:ascii="Calibri" w:hAnsi="Calibri" w:cs="Calibri"/>
          <w:b/>
          <w:sz w:val="24"/>
          <w:szCs w:val="24"/>
        </w:rPr>
        <w:t xml:space="preserve">) </w:t>
      </w:r>
      <w:r w:rsidR="00024F88" w:rsidRPr="00EB7799">
        <w:rPr>
          <w:rFonts w:ascii="Calibri" w:hAnsi="Calibri" w:cs="Calibri"/>
          <w:b/>
          <w:sz w:val="24"/>
          <w:szCs w:val="24"/>
        </w:rPr>
        <w:t xml:space="preserve">  </w:t>
      </w:r>
      <w:r w:rsidR="00EB7799">
        <w:rPr>
          <w:rFonts w:ascii="Calibri" w:hAnsi="Calibri" w:cs="Calibri"/>
          <w:b/>
          <w:sz w:val="24"/>
          <w:szCs w:val="24"/>
        </w:rPr>
        <w:t xml:space="preserve"> </w:t>
      </w:r>
      <w:r w:rsidR="00EB7799" w:rsidRPr="00EB7799">
        <w:rPr>
          <w:rFonts w:ascii="Calibri" w:hAnsi="Calibri" w:cs="Calibri"/>
          <w:b/>
          <w:sz w:val="24"/>
          <w:szCs w:val="24"/>
        </w:rPr>
        <w:t>Page 13 of the RFP, Section II (Statement of Work), Item F (Deliverables/Reports), disclaimer statement below the RBA data table states: “Above are general performance measures subject to modification once the Bidder is selected and the specific program design and interventions have been identified.”</w:t>
      </w:r>
    </w:p>
    <w:p w14:paraId="7281F0D2" w14:textId="0020F616" w:rsidR="004D242F" w:rsidRPr="00EB7799" w:rsidRDefault="00461355" w:rsidP="00EB7799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461355">
        <w:rPr>
          <w:rFonts w:ascii="Calibri" w:hAnsi="Calibri" w:cs="Calibri"/>
          <w:bCs/>
          <w:sz w:val="24"/>
          <w:szCs w:val="24"/>
        </w:rPr>
        <w:t>Stability or improvement in functioning in 6 months</w:t>
      </w:r>
      <w:r w:rsidR="00D377D1">
        <w:rPr>
          <w:rFonts w:ascii="Calibri" w:hAnsi="Calibri" w:cs="Calibri"/>
          <w:bCs/>
          <w:sz w:val="24"/>
          <w:szCs w:val="24"/>
        </w:rPr>
        <w:t xml:space="preserve"> </w:t>
      </w:r>
      <w:r w:rsidRPr="00461355">
        <w:rPr>
          <w:rFonts w:ascii="Calibri" w:hAnsi="Calibri" w:cs="Calibri"/>
          <w:bCs/>
          <w:sz w:val="24"/>
          <w:szCs w:val="24"/>
        </w:rPr>
        <w:t>-</w:t>
      </w:r>
      <w:r w:rsidR="00D377D1">
        <w:rPr>
          <w:rFonts w:ascii="Calibri" w:hAnsi="Calibri" w:cs="Calibri"/>
          <w:bCs/>
          <w:sz w:val="24"/>
          <w:szCs w:val="24"/>
        </w:rPr>
        <w:t xml:space="preserve"> </w:t>
      </w:r>
      <w:r w:rsidRPr="00461355">
        <w:rPr>
          <w:rFonts w:ascii="Calibri" w:hAnsi="Calibri" w:cs="Calibri"/>
          <w:bCs/>
          <w:sz w:val="24"/>
          <w:szCs w:val="24"/>
        </w:rPr>
        <w:t xml:space="preserve">What entity is conducting CANS at 6 months, how will that data be collected? What are the assumptions about services received within 72 hours that would have an impact on stability at 6 months? </w:t>
      </w:r>
    </w:p>
    <w:p w14:paraId="2F83859E" w14:textId="46CAAFF3" w:rsidR="0081722F" w:rsidRPr="00EB7799" w:rsidRDefault="00EB7799" w:rsidP="000F2AC2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 w:rsidRPr="00EB7799">
        <w:rPr>
          <w:rFonts w:ascii="Calibri" w:hAnsi="Calibri" w:cs="Calibri"/>
          <w:b/>
          <w:sz w:val="24"/>
          <w:szCs w:val="24"/>
        </w:rPr>
        <w:t>Page 13 of the RFP, Section II (Statement of Work), Item F (Deliverables/Reports), disclaimer statement below the RBA data table states: “Above are general performance measures subject to modification once the Bidder is selected and the specific program design and interventions have been identified.”</w:t>
      </w:r>
    </w:p>
    <w:p w14:paraId="3139E2C7" w14:textId="66B7B816" w:rsidR="004D242F" w:rsidRPr="00125638" w:rsidRDefault="00125638" w:rsidP="00CD5814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125638">
        <w:rPr>
          <w:rFonts w:ascii="Calibri" w:hAnsi="Calibri" w:cs="Calibri"/>
          <w:bCs/>
          <w:sz w:val="24"/>
          <w:szCs w:val="24"/>
        </w:rPr>
        <w:t>What is the exact CCL license for the facility?</w:t>
      </w:r>
      <w:r w:rsidR="00D577A5">
        <w:rPr>
          <w:rFonts w:ascii="Calibri" w:hAnsi="Calibri" w:cs="Calibri"/>
          <w:bCs/>
          <w:sz w:val="24"/>
          <w:szCs w:val="24"/>
        </w:rPr>
        <w:t xml:space="preserve"> </w:t>
      </w:r>
    </w:p>
    <w:p w14:paraId="6C5B11FD" w14:textId="03CE7A8E" w:rsidR="00B94E07" w:rsidRPr="00A2615E" w:rsidRDefault="00DF48E3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The current l</w:t>
      </w:r>
      <w:r w:rsidRPr="00DF48E3">
        <w:rPr>
          <w:rFonts w:ascii="Calibri" w:hAnsi="Calibri" w:cs="Calibri"/>
          <w:b/>
          <w:sz w:val="24"/>
          <w:szCs w:val="24"/>
        </w:rPr>
        <w:t>icense</w:t>
      </w:r>
      <w:r>
        <w:rPr>
          <w:rFonts w:ascii="Calibri" w:hAnsi="Calibri" w:cs="Calibri"/>
          <w:b/>
          <w:sz w:val="24"/>
          <w:szCs w:val="24"/>
        </w:rPr>
        <w:t xml:space="preserve"> for the Assessment Center is</w:t>
      </w:r>
      <w:r w:rsidRPr="00DF48E3">
        <w:rPr>
          <w:rFonts w:ascii="Calibri" w:hAnsi="Calibri" w:cs="Calibri"/>
          <w:b/>
          <w:sz w:val="24"/>
          <w:szCs w:val="24"/>
        </w:rPr>
        <w:t xml:space="preserve"> for a transitional shelter care facility </w:t>
      </w:r>
      <w:r>
        <w:rPr>
          <w:rFonts w:ascii="Calibri" w:hAnsi="Calibri" w:cs="Calibri"/>
          <w:b/>
          <w:sz w:val="24"/>
          <w:szCs w:val="24"/>
        </w:rPr>
        <w:t xml:space="preserve">for </w:t>
      </w:r>
      <w:r w:rsidRPr="00DF48E3">
        <w:rPr>
          <w:rFonts w:ascii="Calibri" w:hAnsi="Calibri" w:cs="Calibri"/>
          <w:b/>
          <w:sz w:val="24"/>
          <w:szCs w:val="24"/>
        </w:rPr>
        <w:t xml:space="preserve">up to 72 hours before youth at the </w:t>
      </w:r>
      <w:r>
        <w:rPr>
          <w:rFonts w:ascii="Calibri" w:hAnsi="Calibri" w:cs="Calibri"/>
          <w:b/>
          <w:sz w:val="24"/>
          <w:szCs w:val="24"/>
        </w:rPr>
        <w:t>A</w:t>
      </w:r>
      <w:r w:rsidRPr="00DF48E3">
        <w:rPr>
          <w:rFonts w:ascii="Calibri" w:hAnsi="Calibri" w:cs="Calibri"/>
          <w:b/>
          <w:sz w:val="24"/>
          <w:szCs w:val="24"/>
        </w:rPr>
        <w:t xml:space="preserve">ssessment </w:t>
      </w:r>
      <w:r>
        <w:rPr>
          <w:rFonts w:ascii="Calibri" w:hAnsi="Calibri" w:cs="Calibri"/>
          <w:b/>
          <w:sz w:val="24"/>
          <w:szCs w:val="24"/>
        </w:rPr>
        <w:t>C</w:t>
      </w:r>
      <w:r w:rsidRPr="00DF48E3">
        <w:rPr>
          <w:rFonts w:ascii="Calibri" w:hAnsi="Calibri" w:cs="Calibri"/>
          <w:b/>
          <w:sz w:val="24"/>
          <w:szCs w:val="24"/>
        </w:rPr>
        <w:t>enter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DF48E3">
        <w:rPr>
          <w:rFonts w:ascii="Calibri" w:hAnsi="Calibri" w:cs="Calibri"/>
          <w:b/>
          <w:sz w:val="24"/>
          <w:szCs w:val="24"/>
        </w:rPr>
        <w:t>become overstays.</w:t>
      </w:r>
    </w:p>
    <w:p w14:paraId="4FBA17F8" w14:textId="311E11EA" w:rsidR="00600974" w:rsidRPr="00E15231" w:rsidRDefault="00E15231" w:rsidP="00CD5814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E15231">
        <w:rPr>
          <w:rFonts w:ascii="Calibri" w:hAnsi="Calibri" w:cs="Calibri"/>
          <w:bCs/>
          <w:sz w:val="24"/>
          <w:szCs w:val="24"/>
        </w:rPr>
        <w:t xml:space="preserve">How many beds or spaces are available at a time? </w:t>
      </w:r>
    </w:p>
    <w:p w14:paraId="100F8F8A" w14:textId="5785F9BF" w:rsidR="00600974" w:rsidRPr="00A2615E" w:rsidRDefault="00224927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 w:rsidRPr="00224927">
        <w:rPr>
          <w:rFonts w:ascii="Calibri" w:hAnsi="Calibri" w:cs="Calibri"/>
          <w:b/>
          <w:sz w:val="24"/>
          <w:szCs w:val="24"/>
        </w:rPr>
        <w:t>Th</w:t>
      </w:r>
      <w:r>
        <w:rPr>
          <w:rFonts w:ascii="Calibri" w:hAnsi="Calibri" w:cs="Calibri"/>
          <w:b/>
          <w:sz w:val="24"/>
          <w:szCs w:val="24"/>
        </w:rPr>
        <w:t>e</w:t>
      </w:r>
      <w:r w:rsidRPr="00224927">
        <w:rPr>
          <w:rFonts w:ascii="Calibri" w:hAnsi="Calibri" w:cs="Calibri"/>
          <w:b/>
          <w:sz w:val="24"/>
          <w:szCs w:val="24"/>
        </w:rPr>
        <w:t xml:space="preserve"> location </w:t>
      </w:r>
      <w:r>
        <w:rPr>
          <w:rFonts w:ascii="Calibri" w:hAnsi="Calibri" w:cs="Calibri"/>
          <w:b/>
          <w:sz w:val="24"/>
          <w:szCs w:val="24"/>
        </w:rPr>
        <w:t>will</w:t>
      </w:r>
      <w:r w:rsidRPr="00224927">
        <w:rPr>
          <w:rFonts w:ascii="Calibri" w:hAnsi="Calibri" w:cs="Calibri"/>
          <w:b/>
          <w:sz w:val="24"/>
          <w:szCs w:val="24"/>
        </w:rPr>
        <w:t xml:space="preserve"> have a capacity of 10 beds.</w:t>
      </w:r>
    </w:p>
    <w:p w14:paraId="40025E6D" w14:textId="48783210" w:rsidR="00600974" w:rsidRPr="00E04E86" w:rsidRDefault="00E04E86" w:rsidP="00EB7799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E04E86">
        <w:rPr>
          <w:rFonts w:ascii="Calibri" w:hAnsi="Calibri" w:cs="Calibri"/>
          <w:bCs/>
          <w:sz w:val="24"/>
          <w:szCs w:val="24"/>
        </w:rPr>
        <w:t>Is the rate per bed? Is it paid regardless if the bed has any youth/children in it?  So flat rate to operate</w:t>
      </w:r>
      <w:r w:rsidR="00875677">
        <w:rPr>
          <w:rFonts w:ascii="Calibri" w:hAnsi="Calibri" w:cs="Calibri"/>
          <w:bCs/>
          <w:sz w:val="24"/>
          <w:szCs w:val="24"/>
        </w:rPr>
        <w:t>?</w:t>
      </w:r>
    </w:p>
    <w:p w14:paraId="6A8C5708" w14:textId="0B79715D" w:rsidR="00600974" w:rsidRPr="00024F88" w:rsidRDefault="00024F88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 w:rsidRPr="00024F88">
        <w:rPr>
          <w:rFonts w:ascii="Calibri" w:hAnsi="Calibri" w:cs="Calibri"/>
          <w:b/>
          <w:sz w:val="24"/>
          <w:szCs w:val="24"/>
        </w:rPr>
        <w:t>It is a flat rate to operate. Staffing should be available based upon agreed ratios of staff to children, as it is expected the census will fluctuate</w:t>
      </w:r>
      <w:r w:rsidR="00875677">
        <w:rPr>
          <w:rFonts w:ascii="Calibri" w:hAnsi="Calibri" w:cs="Calibri"/>
          <w:b/>
          <w:sz w:val="24"/>
          <w:szCs w:val="24"/>
        </w:rPr>
        <w:t>.</w:t>
      </w:r>
    </w:p>
    <w:p w14:paraId="24F3CD36" w14:textId="7D1AC3D8" w:rsidR="00600974" w:rsidRPr="00071AA0" w:rsidRDefault="00927CEA" w:rsidP="00071AA0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071AA0">
        <w:rPr>
          <w:rFonts w:ascii="Calibri" w:hAnsi="Calibri" w:cs="Calibri"/>
          <w:bCs/>
          <w:sz w:val="24"/>
          <w:szCs w:val="24"/>
        </w:rPr>
        <w:t>Can references include community based organizations or foundations that can attest to our work or do they all need to be contracting agencies for whom we've provided services?</w:t>
      </w:r>
      <w:r w:rsidR="00071AA0">
        <w:rPr>
          <w:rFonts w:ascii="Calibri" w:hAnsi="Calibri" w:cs="Calibri"/>
          <w:bCs/>
          <w:sz w:val="24"/>
          <w:szCs w:val="24"/>
        </w:rPr>
        <w:t xml:space="preserve"> </w:t>
      </w:r>
    </w:p>
    <w:p w14:paraId="7CCE1ADB" w14:textId="1D8EB307" w:rsidR="00B94E07" w:rsidRDefault="007D2167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Yes, </w:t>
      </w:r>
      <w:r w:rsidRPr="007D2167">
        <w:rPr>
          <w:rFonts w:ascii="Calibri" w:hAnsi="Calibri" w:cs="Calibri"/>
          <w:b/>
          <w:sz w:val="24"/>
          <w:szCs w:val="24"/>
        </w:rPr>
        <w:t xml:space="preserve">references </w:t>
      </w:r>
      <w:r>
        <w:rPr>
          <w:rFonts w:ascii="Calibri" w:hAnsi="Calibri" w:cs="Calibri"/>
          <w:b/>
          <w:sz w:val="24"/>
          <w:szCs w:val="24"/>
        </w:rPr>
        <w:t xml:space="preserve">can </w:t>
      </w:r>
      <w:r w:rsidRPr="007D2167">
        <w:rPr>
          <w:rFonts w:ascii="Calibri" w:hAnsi="Calibri" w:cs="Calibri"/>
          <w:b/>
          <w:sz w:val="24"/>
          <w:szCs w:val="24"/>
        </w:rPr>
        <w:t>include community</w:t>
      </w:r>
      <w:r w:rsidR="000634FB">
        <w:rPr>
          <w:rFonts w:ascii="Calibri" w:hAnsi="Calibri" w:cs="Calibri"/>
          <w:b/>
          <w:sz w:val="24"/>
          <w:szCs w:val="24"/>
        </w:rPr>
        <w:t xml:space="preserve"> </w:t>
      </w:r>
      <w:r w:rsidRPr="007D2167">
        <w:rPr>
          <w:rFonts w:ascii="Calibri" w:hAnsi="Calibri" w:cs="Calibri"/>
          <w:b/>
          <w:sz w:val="24"/>
          <w:szCs w:val="24"/>
        </w:rPr>
        <w:t xml:space="preserve">based organizations or foundations that can attest to </w:t>
      </w:r>
      <w:r>
        <w:rPr>
          <w:rFonts w:ascii="Calibri" w:hAnsi="Calibri" w:cs="Calibri"/>
          <w:b/>
          <w:sz w:val="24"/>
          <w:szCs w:val="24"/>
        </w:rPr>
        <w:t>your organization’s</w:t>
      </w:r>
      <w:r w:rsidRPr="007D2167">
        <w:rPr>
          <w:rFonts w:ascii="Calibri" w:hAnsi="Calibri" w:cs="Calibri"/>
          <w:b/>
          <w:sz w:val="24"/>
          <w:szCs w:val="24"/>
        </w:rPr>
        <w:t xml:space="preserve"> work</w:t>
      </w:r>
      <w:r w:rsidR="000C6783">
        <w:rPr>
          <w:rFonts w:ascii="Calibri" w:hAnsi="Calibri" w:cs="Calibri"/>
          <w:b/>
          <w:sz w:val="24"/>
          <w:szCs w:val="24"/>
        </w:rPr>
        <w:t>, even if</w:t>
      </w:r>
      <w:r w:rsidR="00B66347">
        <w:rPr>
          <w:rFonts w:ascii="Calibri" w:hAnsi="Calibri" w:cs="Calibri"/>
          <w:b/>
          <w:sz w:val="24"/>
          <w:szCs w:val="24"/>
        </w:rPr>
        <w:t xml:space="preserve"> they are not </w:t>
      </w:r>
      <w:r w:rsidR="00B66347" w:rsidRPr="00B66347">
        <w:rPr>
          <w:rFonts w:ascii="Calibri" w:hAnsi="Calibri" w:cs="Calibri"/>
          <w:b/>
          <w:sz w:val="24"/>
          <w:szCs w:val="24"/>
        </w:rPr>
        <w:t>contracting agencies for whom your organization has provided services</w:t>
      </w:r>
      <w:r w:rsidR="00875677">
        <w:rPr>
          <w:rFonts w:ascii="Calibri" w:hAnsi="Calibri" w:cs="Calibri"/>
          <w:b/>
          <w:sz w:val="24"/>
          <w:szCs w:val="24"/>
        </w:rPr>
        <w:t>.</w:t>
      </w:r>
    </w:p>
    <w:p w14:paraId="7E249FAA" w14:textId="77777777" w:rsidR="000634FB" w:rsidRPr="00A2615E" w:rsidRDefault="000634FB" w:rsidP="000634FB">
      <w:pPr>
        <w:autoSpaceDE w:val="0"/>
        <w:autoSpaceDN w:val="0"/>
        <w:adjustRightInd w:val="0"/>
        <w:spacing w:after="360"/>
        <w:rPr>
          <w:rFonts w:ascii="Calibri" w:hAnsi="Calibri" w:cs="Calibri"/>
          <w:b/>
          <w:sz w:val="24"/>
          <w:szCs w:val="24"/>
        </w:rPr>
      </w:pPr>
    </w:p>
    <w:p w14:paraId="688B6ED4" w14:textId="06D8232B" w:rsidR="00600974" w:rsidRPr="000F2AC2" w:rsidRDefault="000F2AC2" w:rsidP="00CD5814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0F2AC2">
        <w:rPr>
          <w:rFonts w:ascii="Calibri" w:hAnsi="Calibri" w:cs="Calibri"/>
          <w:bCs/>
          <w:sz w:val="24"/>
          <w:szCs w:val="24"/>
        </w:rPr>
        <w:lastRenderedPageBreak/>
        <w:t>If any repairs are needed to the houses, like just in terms of property damage and anything like that, would it be the provider that's managing that or the county?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33BF8DA0" w14:textId="45743B91" w:rsidR="00600974" w:rsidRPr="00A2615E" w:rsidRDefault="00FA093D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 a</w:t>
      </w:r>
      <w:r w:rsidRPr="00FA093D">
        <w:rPr>
          <w:rFonts w:ascii="Calibri" w:hAnsi="Calibri" w:cs="Calibri"/>
          <w:b/>
          <w:sz w:val="24"/>
          <w:szCs w:val="24"/>
        </w:rPr>
        <w:t xml:space="preserve">nybody who is providing milieu care, there is a </w:t>
      </w:r>
      <w:r w:rsidR="007D1679">
        <w:rPr>
          <w:rFonts w:ascii="Calibri" w:hAnsi="Calibri" w:cs="Calibri"/>
          <w:b/>
          <w:sz w:val="24"/>
          <w:szCs w:val="24"/>
        </w:rPr>
        <w:t xml:space="preserve">Social Services Agency </w:t>
      </w:r>
      <w:r w:rsidR="009B3923">
        <w:rPr>
          <w:rFonts w:ascii="Calibri" w:hAnsi="Calibri" w:cs="Calibri"/>
          <w:b/>
          <w:sz w:val="24"/>
          <w:szCs w:val="24"/>
        </w:rPr>
        <w:t xml:space="preserve">facilities management team </w:t>
      </w:r>
      <w:r w:rsidR="007D1679">
        <w:rPr>
          <w:rFonts w:ascii="Calibri" w:hAnsi="Calibri" w:cs="Calibri"/>
          <w:b/>
          <w:sz w:val="24"/>
          <w:szCs w:val="24"/>
        </w:rPr>
        <w:t xml:space="preserve">available </w:t>
      </w:r>
      <w:r w:rsidR="009B3923">
        <w:rPr>
          <w:rFonts w:ascii="Calibri" w:hAnsi="Calibri" w:cs="Calibri"/>
          <w:b/>
          <w:sz w:val="24"/>
          <w:szCs w:val="24"/>
        </w:rPr>
        <w:t>to handle repairs.</w:t>
      </w:r>
    </w:p>
    <w:p w14:paraId="56A9022C" w14:textId="2714EFAA" w:rsidR="00600974" w:rsidRPr="00137474" w:rsidRDefault="00A475D8" w:rsidP="00CD5814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137474">
        <w:rPr>
          <w:rFonts w:ascii="Calibri" w:hAnsi="Calibri" w:cs="Calibri"/>
          <w:bCs/>
          <w:sz w:val="24"/>
          <w:szCs w:val="24"/>
        </w:rPr>
        <w:t>If we have a higher indirect rate with another county entity, is that what you mean by if you can submit that?</w:t>
      </w:r>
      <w:r w:rsidR="00137474" w:rsidRPr="00137474">
        <w:rPr>
          <w:rFonts w:ascii="Calibri" w:hAnsi="Calibri" w:cs="Calibri"/>
          <w:bCs/>
          <w:sz w:val="24"/>
          <w:szCs w:val="24"/>
        </w:rPr>
        <w:t xml:space="preserve"> </w:t>
      </w:r>
    </w:p>
    <w:p w14:paraId="28857CD6" w14:textId="6F6BB017" w:rsidR="00600974" w:rsidRPr="00F07DBA" w:rsidRDefault="00983A63" w:rsidP="00F07DBA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See answer to question #7.</w:t>
      </w:r>
    </w:p>
    <w:p w14:paraId="7BF13DBD" w14:textId="693B180F" w:rsidR="00600974" w:rsidRPr="00D106E4" w:rsidRDefault="00D106E4" w:rsidP="00EB7799">
      <w:pPr>
        <w:numPr>
          <w:ilvl w:val="0"/>
          <w:numId w:val="1"/>
        </w:numPr>
        <w:shd w:val="clear" w:color="auto" w:fill="FFFFFF" w:themeFill="background1"/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EB7799">
        <w:rPr>
          <w:rFonts w:ascii="Calibri" w:hAnsi="Calibri" w:cs="Calibri"/>
          <w:bCs/>
          <w:sz w:val="24"/>
          <w:szCs w:val="24"/>
        </w:rPr>
        <w:t>Is the requirement to have operated a transitional shelter care facility or a shelter of any type?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05BDE26B" w14:textId="34FF367D" w:rsidR="00600974" w:rsidRPr="00A2615E" w:rsidRDefault="00024F88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There should be experience in operating a group home, shelter, S</w:t>
      </w:r>
      <w:r w:rsidR="00875677">
        <w:rPr>
          <w:rFonts w:ascii="Calibri" w:hAnsi="Calibri" w:cs="Calibri"/>
          <w:b/>
          <w:sz w:val="24"/>
          <w:szCs w:val="24"/>
        </w:rPr>
        <w:t>hort Term Residential Therapeutic Program (STRTP)</w:t>
      </w:r>
      <w:r>
        <w:rPr>
          <w:rFonts w:ascii="Calibri" w:hAnsi="Calibri" w:cs="Calibri"/>
          <w:b/>
          <w:sz w:val="24"/>
          <w:szCs w:val="24"/>
        </w:rPr>
        <w:t>, or Transitional Shelter Care Facility.</w:t>
      </w:r>
    </w:p>
    <w:p w14:paraId="60A3CA0F" w14:textId="1B16E658" w:rsidR="00600974" w:rsidRPr="00CD1A46" w:rsidRDefault="004C78A4" w:rsidP="00CD5814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="Calibri" w:hAnsi="Calibri" w:cs="Calibri"/>
          <w:bCs/>
          <w:sz w:val="24"/>
          <w:szCs w:val="24"/>
        </w:rPr>
      </w:pPr>
      <w:r w:rsidRPr="00CD1A46">
        <w:rPr>
          <w:rFonts w:ascii="Calibri" w:hAnsi="Calibri" w:cs="Calibri"/>
          <w:bCs/>
          <w:sz w:val="24"/>
          <w:szCs w:val="24"/>
        </w:rPr>
        <w:t xml:space="preserve">On the deliverables or RBA </w:t>
      </w:r>
      <w:r w:rsidR="001E0EF5" w:rsidRPr="00CD1A46">
        <w:rPr>
          <w:rFonts w:ascii="Calibri" w:hAnsi="Calibri" w:cs="Calibri"/>
          <w:bCs/>
          <w:sz w:val="24"/>
          <w:szCs w:val="24"/>
        </w:rPr>
        <w:t xml:space="preserve">performance measures: If I recall the statement was we could propose which outcome we wanted to </w:t>
      </w:r>
      <w:r w:rsidR="00A4136E" w:rsidRPr="00CD1A46">
        <w:rPr>
          <w:rFonts w:ascii="Calibri" w:hAnsi="Calibri" w:cs="Calibri"/>
          <w:bCs/>
          <w:sz w:val="24"/>
          <w:szCs w:val="24"/>
        </w:rPr>
        <w:t>r</w:t>
      </w:r>
      <w:r w:rsidR="001E0EF5" w:rsidRPr="00CD1A46">
        <w:rPr>
          <w:rFonts w:ascii="Calibri" w:hAnsi="Calibri" w:cs="Calibri"/>
          <w:bCs/>
          <w:sz w:val="24"/>
          <w:szCs w:val="24"/>
        </w:rPr>
        <w:t>each.</w:t>
      </w:r>
      <w:r w:rsidR="00AB2F81" w:rsidRPr="00CD1A46">
        <w:rPr>
          <w:rFonts w:ascii="Calibri" w:hAnsi="Calibri" w:cs="Calibri"/>
          <w:bCs/>
          <w:sz w:val="24"/>
          <w:szCs w:val="24"/>
        </w:rPr>
        <w:t xml:space="preserve"> Is that correct? </w:t>
      </w:r>
    </w:p>
    <w:p w14:paraId="3002B7AF" w14:textId="4B578D61" w:rsidR="00600974" w:rsidRPr="00CD1A46" w:rsidRDefault="009E1BDE" w:rsidP="00EB4385">
      <w:pPr>
        <w:numPr>
          <w:ilvl w:val="1"/>
          <w:numId w:val="1"/>
        </w:numPr>
        <w:autoSpaceDE w:val="0"/>
        <w:autoSpaceDN w:val="0"/>
        <w:adjustRightInd w:val="0"/>
        <w:spacing w:after="360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CD1A46">
        <w:rPr>
          <w:rFonts w:ascii="Calibri" w:hAnsi="Calibri" w:cs="Calibri"/>
          <w:b/>
          <w:bCs/>
          <w:sz w:val="24"/>
          <w:szCs w:val="24"/>
        </w:rPr>
        <w:t>T</w:t>
      </w:r>
      <w:r w:rsidR="00AB2F81" w:rsidRPr="00CD1A46">
        <w:rPr>
          <w:rFonts w:ascii="Calibri" w:hAnsi="Calibri" w:cs="Calibri"/>
          <w:b/>
          <w:bCs/>
          <w:sz w:val="24"/>
          <w:szCs w:val="24"/>
        </w:rPr>
        <w:t>he program</w:t>
      </w:r>
      <w:r w:rsidRPr="00CD1A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F81" w:rsidRPr="00CD1A46">
        <w:rPr>
          <w:rFonts w:ascii="Calibri" w:hAnsi="Calibri" w:cs="Calibri"/>
          <w:b/>
          <w:bCs/>
          <w:sz w:val="24"/>
          <w:szCs w:val="24"/>
        </w:rPr>
        <w:t>department determines the data they would like to collect</w:t>
      </w:r>
      <w:r w:rsidR="00F835CE" w:rsidRPr="00CD1A46">
        <w:rPr>
          <w:rFonts w:ascii="Calibri" w:hAnsi="Calibri" w:cs="Calibri"/>
          <w:b/>
          <w:bCs/>
          <w:sz w:val="24"/>
          <w:szCs w:val="24"/>
        </w:rPr>
        <w:t>. D</w:t>
      </w:r>
      <w:r w:rsidR="00AB2F81" w:rsidRPr="00CD1A46">
        <w:rPr>
          <w:rFonts w:ascii="Calibri" w:hAnsi="Calibri" w:cs="Calibri"/>
          <w:b/>
          <w:bCs/>
          <w:sz w:val="24"/>
          <w:szCs w:val="24"/>
        </w:rPr>
        <w:t xml:space="preserve">uring the </w:t>
      </w:r>
      <w:r w:rsidR="00F835CE" w:rsidRPr="00CD1A46">
        <w:rPr>
          <w:rFonts w:ascii="Calibri" w:hAnsi="Calibri" w:cs="Calibri"/>
          <w:b/>
          <w:bCs/>
          <w:sz w:val="24"/>
          <w:szCs w:val="24"/>
        </w:rPr>
        <w:t xml:space="preserve">contract </w:t>
      </w:r>
      <w:r w:rsidR="00AB2F81" w:rsidRPr="00CD1A46">
        <w:rPr>
          <w:rFonts w:ascii="Calibri" w:hAnsi="Calibri" w:cs="Calibri"/>
          <w:b/>
          <w:bCs/>
          <w:sz w:val="24"/>
          <w:szCs w:val="24"/>
        </w:rPr>
        <w:t>negotiation period</w:t>
      </w:r>
      <w:r w:rsidR="00F835CE" w:rsidRPr="00CD1A46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2E0A75" w:rsidRPr="00CD1A46">
        <w:rPr>
          <w:rFonts w:ascii="Calibri" w:hAnsi="Calibri" w:cs="Calibri"/>
          <w:b/>
          <w:bCs/>
          <w:sz w:val="24"/>
          <w:szCs w:val="24"/>
        </w:rPr>
        <w:t>a discussion and negotiation can happen around the actual units you</w:t>
      </w:r>
      <w:r w:rsidR="00013877" w:rsidRPr="00CD1A46">
        <w:rPr>
          <w:rFonts w:ascii="Calibri" w:hAnsi="Calibri" w:cs="Calibri"/>
          <w:b/>
          <w:bCs/>
          <w:sz w:val="24"/>
          <w:szCs w:val="24"/>
        </w:rPr>
        <w:t xml:space="preserve">r organization will </w:t>
      </w:r>
      <w:r w:rsidR="002E0A75" w:rsidRPr="00CD1A46">
        <w:rPr>
          <w:rFonts w:ascii="Calibri" w:hAnsi="Calibri" w:cs="Calibri"/>
          <w:b/>
          <w:bCs/>
          <w:sz w:val="24"/>
          <w:szCs w:val="24"/>
        </w:rPr>
        <w:t>be required to supply.</w:t>
      </w:r>
      <w:r w:rsidR="0063054F" w:rsidRPr="00CD1A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B15ED" w:rsidRPr="00CD1A46">
        <w:rPr>
          <w:rFonts w:ascii="Calibri" w:hAnsi="Calibri" w:cs="Calibri"/>
          <w:b/>
          <w:bCs/>
          <w:sz w:val="24"/>
          <w:szCs w:val="24"/>
        </w:rPr>
        <w:t>The program’s decision is</w:t>
      </w:r>
      <w:r w:rsidR="0063054F" w:rsidRPr="00CD1A46">
        <w:rPr>
          <w:rFonts w:ascii="Calibri" w:hAnsi="Calibri" w:cs="Calibri"/>
          <w:b/>
          <w:bCs/>
          <w:sz w:val="24"/>
          <w:szCs w:val="24"/>
        </w:rPr>
        <w:t xml:space="preserve"> driven by the data that</w:t>
      </w:r>
      <w:r w:rsidR="00C21C64" w:rsidRPr="00CD1A46">
        <w:rPr>
          <w:rFonts w:ascii="Calibri" w:hAnsi="Calibri" w:cs="Calibri"/>
          <w:b/>
          <w:bCs/>
          <w:sz w:val="24"/>
          <w:szCs w:val="24"/>
        </w:rPr>
        <w:t xml:space="preserve"> is</w:t>
      </w:r>
      <w:r w:rsidR="0063054F" w:rsidRPr="00CD1A46">
        <w:rPr>
          <w:rFonts w:ascii="Calibri" w:hAnsi="Calibri" w:cs="Calibri"/>
          <w:b/>
          <w:bCs/>
          <w:sz w:val="24"/>
          <w:szCs w:val="24"/>
        </w:rPr>
        <w:t xml:space="preserve"> required to report to the state as well as data </w:t>
      </w:r>
      <w:r w:rsidR="00854302" w:rsidRPr="00CD1A46">
        <w:rPr>
          <w:rFonts w:ascii="Calibri" w:hAnsi="Calibri" w:cs="Calibri"/>
          <w:b/>
          <w:bCs/>
          <w:sz w:val="24"/>
          <w:szCs w:val="24"/>
        </w:rPr>
        <w:t xml:space="preserve">they would </w:t>
      </w:r>
      <w:r w:rsidR="0063054F" w:rsidRPr="00CD1A46">
        <w:rPr>
          <w:rFonts w:ascii="Calibri" w:hAnsi="Calibri" w:cs="Calibri"/>
          <w:b/>
          <w:bCs/>
          <w:sz w:val="24"/>
          <w:szCs w:val="24"/>
        </w:rPr>
        <w:t xml:space="preserve">like to collect to make sure that the program is performing at a </w:t>
      </w:r>
      <w:r w:rsidR="00854302" w:rsidRPr="00CD1A46">
        <w:rPr>
          <w:rFonts w:ascii="Calibri" w:hAnsi="Calibri" w:cs="Calibri"/>
          <w:b/>
          <w:bCs/>
          <w:sz w:val="24"/>
          <w:szCs w:val="24"/>
        </w:rPr>
        <w:t xml:space="preserve">satisfactory </w:t>
      </w:r>
      <w:r w:rsidR="0063054F" w:rsidRPr="00CD1A46">
        <w:rPr>
          <w:rFonts w:ascii="Calibri" w:hAnsi="Calibri" w:cs="Calibri"/>
          <w:b/>
          <w:bCs/>
          <w:sz w:val="24"/>
          <w:szCs w:val="24"/>
        </w:rPr>
        <w:t>level</w:t>
      </w:r>
      <w:r w:rsidR="00854302" w:rsidRPr="00CD1A46">
        <w:rPr>
          <w:rFonts w:ascii="Calibri" w:hAnsi="Calibri" w:cs="Calibri"/>
          <w:b/>
          <w:bCs/>
          <w:sz w:val="24"/>
          <w:szCs w:val="24"/>
        </w:rPr>
        <w:t>.</w:t>
      </w:r>
    </w:p>
    <w:p w14:paraId="6EBD0F2B" w14:textId="252A6732" w:rsidR="00600974" w:rsidRPr="00A2615E" w:rsidRDefault="00600974" w:rsidP="009A0929">
      <w:pPr>
        <w:autoSpaceDE w:val="0"/>
        <w:autoSpaceDN w:val="0"/>
        <w:adjustRightInd w:val="0"/>
        <w:spacing w:after="360"/>
        <w:ind w:left="720"/>
        <w:rPr>
          <w:rFonts w:ascii="Calibri" w:hAnsi="Calibri" w:cs="Calibri"/>
          <w:b/>
          <w:sz w:val="24"/>
          <w:szCs w:val="24"/>
        </w:rPr>
      </w:pPr>
    </w:p>
    <w:sectPr w:rsidR="00600974" w:rsidRPr="00A2615E" w:rsidSect="00D533A8">
      <w:footerReference w:type="default" r:id="rId18"/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641A" w14:textId="77777777" w:rsidR="00C46C5A" w:rsidRDefault="00C46C5A" w:rsidP="004D242F">
      <w:r>
        <w:separator/>
      </w:r>
    </w:p>
  </w:endnote>
  <w:endnote w:type="continuationSeparator" w:id="0">
    <w:p w14:paraId="5297FF3C" w14:textId="77777777" w:rsidR="00C46C5A" w:rsidRDefault="00C46C5A" w:rsidP="004D242F">
      <w:r>
        <w:continuationSeparator/>
      </w:r>
    </w:p>
  </w:endnote>
  <w:endnote w:type="continuationNotice" w:id="1">
    <w:p w14:paraId="7FFAA382" w14:textId="77777777" w:rsidR="00C46C5A" w:rsidRDefault="00C46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2960" w14:textId="7D9FE2A0" w:rsidR="00D533A8" w:rsidRPr="008F1AC7" w:rsidRDefault="00B60008" w:rsidP="00741E10">
    <w:pPr>
      <w:jc w:val="right"/>
      <w:rPr>
        <w:rFonts w:ascii="Calibri" w:hAnsi="Calibri" w:cs="Calibri"/>
        <w:sz w:val="20"/>
      </w:rPr>
    </w:pPr>
    <w:r w:rsidRPr="00E83ABA">
      <w:rPr>
        <w:rFonts w:ascii="Calibri" w:hAnsi="Calibri" w:cs="Calibri"/>
        <w:color w:val="FF0000"/>
        <w:sz w:val="20"/>
      </w:rPr>
      <w:t>R</w:t>
    </w:r>
    <w:r w:rsidR="004D242F" w:rsidRPr="00E83ABA">
      <w:rPr>
        <w:rFonts w:ascii="Calibri" w:hAnsi="Calibri" w:cs="Calibri"/>
        <w:color w:val="FF0000"/>
        <w:sz w:val="20"/>
      </w:rPr>
      <w:t>F</w:t>
    </w:r>
    <w:r w:rsidR="00FE5898" w:rsidRPr="00E83ABA">
      <w:rPr>
        <w:rFonts w:ascii="Calibri" w:hAnsi="Calibri" w:cs="Calibri"/>
        <w:color w:val="FF0000"/>
        <w:sz w:val="20"/>
      </w:rPr>
      <w:t>P</w:t>
    </w:r>
    <w:r w:rsidR="00E83ABA" w:rsidRPr="00E83ABA">
      <w:rPr>
        <w:rFonts w:ascii="Calibri" w:hAnsi="Calibri" w:cs="Calibri"/>
        <w:color w:val="FF0000"/>
        <w:sz w:val="20"/>
      </w:rPr>
      <w:t>/Q</w:t>
    </w:r>
    <w:r w:rsidRPr="00E83ABA">
      <w:rPr>
        <w:rFonts w:ascii="Calibri" w:hAnsi="Calibri" w:cs="Calibri"/>
        <w:color w:val="FF0000"/>
        <w:sz w:val="20"/>
      </w:rPr>
      <w:t xml:space="preserve"> No. </w:t>
    </w:r>
    <w:r w:rsidR="004D242F" w:rsidRPr="00E83ABA">
      <w:rPr>
        <w:rFonts w:ascii="Calibri" w:hAnsi="Calibri" w:cs="Calibri"/>
        <w:color w:val="FF0000"/>
        <w:sz w:val="20"/>
      </w:rPr>
      <w:t>90</w:t>
    </w:r>
    <w:r w:rsidR="00E83ABA" w:rsidRPr="00E83ABA">
      <w:rPr>
        <w:rFonts w:ascii="Calibri" w:hAnsi="Calibri" w:cs="Calibri"/>
        <w:color w:val="FF0000"/>
        <w:sz w:val="20"/>
      </w:rPr>
      <w:t>XXXX</w:t>
    </w:r>
    <w:r w:rsidRPr="008F1AC7">
      <w:rPr>
        <w:rFonts w:ascii="Calibri" w:hAnsi="Calibri" w:cs="Calibri"/>
        <w:sz w:val="20"/>
      </w:rPr>
      <w:t xml:space="preserve">, </w:t>
    </w:r>
    <w:r w:rsidR="004D242F">
      <w:rPr>
        <w:rFonts w:ascii="Calibri" w:hAnsi="Calibri" w:cs="Calibri"/>
        <w:sz w:val="20"/>
      </w:rPr>
      <w:t>Questions &amp; Answers</w:t>
    </w:r>
    <w:r w:rsidRPr="008F1AC7">
      <w:rPr>
        <w:rFonts w:ascii="Calibri" w:hAnsi="Calibri" w:cs="Calibri"/>
        <w:sz w:val="20"/>
      </w:rPr>
      <w:t xml:space="preserve"> </w:t>
    </w:r>
  </w:p>
  <w:p w14:paraId="5DB62AEE" w14:textId="600A7CED" w:rsidR="00D533A8" w:rsidRDefault="00B60008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5D1234">
      <w:rPr>
        <w:rFonts w:ascii="Calibri" w:hAnsi="Calibri" w:cs="Calibri"/>
        <w:noProof/>
        <w:sz w:val="20"/>
      </w:rPr>
      <w:t>5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561D" w14:textId="7AB345EC" w:rsidR="00D533A8" w:rsidRDefault="00D533A8" w:rsidP="004740B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color w:val="000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964F" w14:textId="77777777" w:rsidR="00140121" w:rsidRDefault="004740BB" w:rsidP="00140121">
    <w:pPr>
      <w:tabs>
        <w:tab w:val="right" w:pos="1008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ab/>
    </w:r>
  </w:p>
  <w:p w14:paraId="43CCF9C6" w14:textId="791994D0" w:rsidR="00140121" w:rsidRPr="008F1AC7" w:rsidRDefault="00140121" w:rsidP="00140121">
    <w:pPr>
      <w:tabs>
        <w:tab w:val="right" w:pos="10080"/>
      </w:tabs>
      <w:jc w:val="right"/>
      <w:rPr>
        <w:rFonts w:ascii="Calibri" w:hAnsi="Calibri" w:cs="Calibri"/>
        <w:sz w:val="20"/>
      </w:rPr>
    </w:pPr>
    <w:r w:rsidRPr="00140121">
      <w:rPr>
        <w:rFonts w:ascii="Calibri" w:hAnsi="Calibri" w:cs="Calibri"/>
        <w:sz w:val="20"/>
      </w:rPr>
      <w:t>RFP No. 2023-SSA-CFS-TSCS, Q</w:t>
    </w:r>
    <w:r>
      <w:rPr>
        <w:rFonts w:ascii="Calibri" w:hAnsi="Calibri" w:cs="Calibri"/>
        <w:sz w:val="20"/>
      </w:rPr>
      <w:t>uestions &amp; Answers</w:t>
    </w:r>
    <w:r w:rsidRPr="008F1AC7">
      <w:rPr>
        <w:rFonts w:ascii="Calibri" w:hAnsi="Calibri" w:cs="Calibri"/>
        <w:sz w:val="20"/>
      </w:rPr>
      <w:t xml:space="preserve"> </w:t>
    </w:r>
  </w:p>
  <w:p w14:paraId="299706E9" w14:textId="1E33D6BB" w:rsidR="00140121" w:rsidRDefault="00140121" w:rsidP="00140121">
    <w:pPr>
      <w:pStyle w:val="Footer"/>
      <w:tabs>
        <w:tab w:val="clear" w:pos="8640"/>
        <w:tab w:val="right" w:pos="10080"/>
      </w:tabs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 w:rsidR="00024F88">
      <w:rPr>
        <w:rFonts w:ascii="Calibri" w:hAnsi="Calibri" w:cs="Calibri"/>
        <w:noProof/>
        <w:sz w:val="20"/>
      </w:rPr>
      <w:t>3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NUMPAGES  \# "0"  \* MERGEFORMAT </w:instrText>
    </w:r>
    <w:r>
      <w:rPr>
        <w:rFonts w:ascii="Calibri" w:hAnsi="Calibri" w:cs="Calibri"/>
        <w:sz w:val="20"/>
      </w:rPr>
      <w:fldChar w:fldCharType="separate"/>
    </w:r>
    <w:r w:rsidR="00024F88">
      <w:rPr>
        <w:rFonts w:ascii="Calibri" w:hAnsi="Calibri" w:cs="Calibri"/>
        <w:noProof/>
        <w:sz w:val="20"/>
      </w:rPr>
      <w:t>5</w:t>
    </w:r>
    <w:r>
      <w:rPr>
        <w:rFonts w:ascii="Calibri" w:hAnsi="Calibri" w:cs="Calibri"/>
        <w:sz w:val="20"/>
      </w:rPr>
      <w:fldChar w:fldCharType="end"/>
    </w:r>
  </w:p>
  <w:p w14:paraId="15833877" w14:textId="21F0D44A" w:rsidR="005D53C7" w:rsidRDefault="005D53C7" w:rsidP="00140121">
    <w:pPr>
      <w:tabs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6017" w14:textId="77777777" w:rsidR="00C46C5A" w:rsidRDefault="00C46C5A" w:rsidP="004D242F">
      <w:r>
        <w:separator/>
      </w:r>
    </w:p>
  </w:footnote>
  <w:footnote w:type="continuationSeparator" w:id="0">
    <w:p w14:paraId="1D3A4161" w14:textId="77777777" w:rsidR="00C46C5A" w:rsidRDefault="00C46C5A" w:rsidP="004D242F">
      <w:r>
        <w:continuationSeparator/>
      </w:r>
    </w:p>
  </w:footnote>
  <w:footnote w:type="continuationNotice" w:id="1">
    <w:p w14:paraId="755574A1" w14:textId="77777777" w:rsidR="00C46C5A" w:rsidRDefault="00C46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A59B" w14:textId="77777777" w:rsidR="007E3FA8" w:rsidRPr="00892030" w:rsidRDefault="007E3FA8" w:rsidP="007E3FA8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58242" behindDoc="1" locked="0" layoutInCell="0" allowOverlap="1" wp14:anchorId="53829E29" wp14:editId="54FA5FCA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778848510" name="Picture 778848510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030">
      <w:rPr>
        <w:rFonts w:ascii="Calibri" w:hAnsi="Calibri" w:cs="Calibri"/>
        <w:b/>
        <w:snapToGrid w:val="0"/>
        <w:sz w:val="24"/>
      </w:rPr>
      <w:t>County of Alameda</w:t>
    </w:r>
    <w:r>
      <w:rPr>
        <w:rFonts w:ascii="Calibri" w:hAnsi="Calibri" w:cs="Calibri"/>
        <w:b/>
        <w:snapToGrid w:val="0"/>
        <w:sz w:val="24"/>
      </w:rPr>
      <w:t>, Social Services Agency, Finance/Contracts Office</w:t>
    </w:r>
  </w:p>
  <w:p w14:paraId="3D4D249E" w14:textId="08442EF1" w:rsidR="007E3FA8" w:rsidRDefault="007E3FA8" w:rsidP="007E3FA8">
    <w:pPr>
      <w:pStyle w:val="Header"/>
      <w:jc w:val="center"/>
      <w:rPr>
        <w:rFonts w:ascii="Arial" w:hAnsi="Arial" w:cs="Arial"/>
        <w:sz w:val="16"/>
        <w:szCs w:val="16"/>
      </w:rPr>
    </w:pPr>
    <w:r w:rsidRPr="00A70600">
      <w:rPr>
        <w:rFonts w:ascii="Calibri" w:hAnsi="Calibri" w:cs="Calibri"/>
        <w:b/>
        <w:snapToGrid w:val="0"/>
        <w:sz w:val="24"/>
      </w:rPr>
      <w:t xml:space="preserve">RFP No. 2023-SSA-CFS-TSCS, </w:t>
    </w:r>
    <w:r>
      <w:rPr>
        <w:rFonts w:ascii="Calibri" w:hAnsi="Calibri" w:cs="Calibri"/>
        <w:b/>
        <w:snapToGrid w:val="0"/>
        <w:sz w:val="24"/>
      </w:rPr>
      <w:t>Questions &amp; Answers</w:t>
    </w:r>
  </w:p>
  <w:p w14:paraId="467C96E5" w14:textId="77777777" w:rsidR="00D533A8" w:rsidRDefault="00D533A8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011D" w14:textId="5A79B084" w:rsidR="00D533A8" w:rsidRPr="00344563" w:rsidRDefault="00D7471E" w:rsidP="004740BB">
    <w:pPr>
      <w:pStyle w:val="Header"/>
      <w:tabs>
        <w:tab w:val="center" w:pos="1440"/>
      </w:tabs>
      <w:ind w:left="4320" w:firstLine="2880"/>
      <w:rPr>
        <w:rFonts w:ascii="Californian FB" w:hAnsi="Californian FB"/>
        <w:b/>
        <w:color w:val="0F5683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0" allowOverlap="1" wp14:anchorId="0975B10A" wp14:editId="374D35B3">
          <wp:simplePos x="0" y="0"/>
          <wp:positionH relativeFrom="margin">
            <wp:align>left</wp:align>
          </wp:positionH>
          <wp:positionV relativeFrom="paragraph">
            <wp:posOffset>-2664</wp:posOffset>
          </wp:positionV>
          <wp:extent cx="1341344" cy="643631"/>
          <wp:effectExtent l="0" t="0" r="0" b="4445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344" cy="643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5BA" w:rsidRPr="00344563">
      <w:rPr>
        <w:rFonts w:ascii="Californian FB" w:hAnsi="Californian FB"/>
        <w:b/>
        <w:color w:val="0F5683"/>
        <w:sz w:val="18"/>
        <w:szCs w:val="18"/>
      </w:rPr>
      <w:t xml:space="preserve"> </w:t>
    </w:r>
  </w:p>
  <w:p w14:paraId="6892651D" w14:textId="2B6365C0" w:rsidR="00D533A8" w:rsidRDefault="004D242F">
    <w:pPr>
      <w:pStyle w:val="Header"/>
    </w:pPr>
    <w:r>
      <w:rPr>
        <w:rFonts w:ascii="Century Gothic" w:hAnsi="Century Gothic"/>
        <w:noProof/>
        <w:spacing w:val="60"/>
        <w:sz w:val="52"/>
      </w:rPr>
      <w:drawing>
        <wp:anchor distT="0" distB="0" distL="114300" distR="114300" simplePos="0" relativeHeight="251658240" behindDoc="1" locked="0" layoutInCell="0" allowOverlap="1" wp14:anchorId="0B76A70F" wp14:editId="045720A9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8" name="Picture 8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nty of alame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36060772"/>
    <w:lvl w:ilvl="0">
      <w:start w:val="1"/>
      <w:numFmt w:val="decimal"/>
      <w:lvlText w:val="Q%1)"/>
      <w:lvlJc w:val="left"/>
      <w:pPr>
        <w:tabs>
          <w:tab w:val="num" w:pos="1440"/>
        </w:tabs>
        <w:ind w:left="1152" w:hanging="432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%2A%1)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A52DEE"/>
    <w:multiLevelType w:val="multilevel"/>
    <w:tmpl w:val="652C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71668"/>
    <w:multiLevelType w:val="hybridMultilevel"/>
    <w:tmpl w:val="76F4DC40"/>
    <w:lvl w:ilvl="0" w:tplc="AECEAE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729651">
    <w:abstractNumId w:val="0"/>
  </w:num>
  <w:num w:numId="2" w16cid:durableId="748962664">
    <w:abstractNumId w:val="3"/>
  </w:num>
  <w:num w:numId="3" w16cid:durableId="1203207539">
    <w:abstractNumId w:val="2"/>
  </w:num>
  <w:num w:numId="4" w16cid:durableId="183044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MzE0NzAwN7YwNTFX0lEKTi0uzszPAykwMqwFALKfOuMtAAAA"/>
  </w:docVars>
  <w:rsids>
    <w:rsidRoot w:val="004D242F"/>
    <w:rsid w:val="00013877"/>
    <w:rsid w:val="000228FE"/>
    <w:rsid w:val="00024F88"/>
    <w:rsid w:val="00030AEE"/>
    <w:rsid w:val="00035A55"/>
    <w:rsid w:val="000634FB"/>
    <w:rsid w:val="00071AA0"/>
    <w:rsid w:val="000835A0"/>
    <w:rsid w:val="00097F21"/>
    <w:rsid w:val="000A25E7"/>
    <w:rsid w:val="000B0865"/>
    <w:rsid w:val="000B6C30"/>
    <w:rsid w:val="000C6783"/>
    <w:rsid w:val="000D2677"/>
    <w:rsid w:val="000D4C47"/>
    <w:rsid w:val="000F2AC2"/>
    <w:rsid w:val="00125638"/>
    <w:rsid w:val="00135723"/>
    <w:rsid w:val="00137474"/>
    <w:rsid w:val="00140121"/>
    <w:rsid w:val="00143AFA"/>
    <w:rsid w:val="00150C4C"/>
    <w:rsid w:val="0015259B"/>
    <w:rsid w:val="00160400"/>
    <w:rsid w:val="00160CDE"/>
    <w:rsid w:val="001630AE"/>
    <w:rsid w:val="0019537B"/>
    <w:rsid w:val="001957CB"/>
    <w:rsid w:val="001B313F"/>
    <w:rsid w:val="001D58A8"/>
    <w:rsid w:val="001E0EF5"/>
    <w:rsid w:val="001F6EFA"/>
    <w:rsid w:val="002023B4"/>
    <w:rsid w:val="002141E7"/>
    <w:rsid w:val="00224927"/>
    <w:rsid w:val="002351DC"/>
    <w:rsid w:val="00245437"/>
    <w:rsid w:val="0024787A"/>
    <w:rsid w:val="00261950"/>
    <w:rsid w:val="00272BE4"/>
    <w:rsid w:val="002B1B1D"/>
    <w:rsid w:val="002B3056"/>
    <w:rsid w:val="002B62FE"/>
    <w:rsid w:val="002C016F"/>
    <w:rsid w:val="002C1135"/>
    <w:rsid w:val="002D61C1"/>
    <w:rsid w:val="002E0A75"/>
    <w:rsid w:val="003073F1"/>
    <w:rsid w:val="00325E59"/>
    <w:rsid w:val="00336238"/>
    <w:rsid w:val="00345F05"/>
    <w:rsid w:val="00366242"/>
    <w:rsid w:val="00367701"/>
    <w:rsid w:val="00386FF3"/>
    <w:rsid w:val="0038729B"/>
    <w:rsid w:val="003911A1"/>
    <w:rsid w:val="00392870"/>
    <w:rsid w:val="0039295B"/>
    <w:rsid w:val="00397667"/>
    <w:rsid w:val="003B310C"/>
    <w:rsid w:val="003C1E12"/>
    <w:rsid w:val="003F57D0"/>
    <w:rsid w:val="00433470"/>
    <w:rsid w:val="00433540"/>
    <w:rsid w:val="00434AA3"/>
    <w:rsid w:val="00441B67"/>
    <w:rsid w:val="004601DD"/>
    <w:rsid w:val="00461212"/>
    <w:rsid w:val="00461355"/>
    <w:rsid w:val="004620F4"/>
    <w:rsid w:val="0046564A"/>
    <w:rsid w:val="00467A9A"/>
    <w:rsid w:val="004740BB"/>
    <w:rsid w:val="004A4445"/>
    <w:rsid w:val="004B06B1"/>
    <w:rsid w:val="004B2EAB"/>
    <w:rsid w:val="004B41ED"/>
    <w:rsid w:val="004C41AB"/>
    <w:rsid w:val="004C4CD0"/>
    <w:rsid w:val="004C78A4"/>
    <w:rsid w:val="004D242F"/>
    <w:rsid w:val="004D422A"/>
    <w:rsid w:val="00506D7C"/>
    <w:rsid w:val="00511A4C"/>
    <w:rsid w:val="00511D0F"/>
    <w:rsid w:val="00526AD9"/>
    <w:rsid w:val="005311F5"/>
    <w:rsid w:val="005444F9"/>
    <w:rsid w:val="005445A4"/>
    <w:rsid w:val="005752D8"/>
    <w:rsid w:val="005839BB"/>
    <w:rsid w:val="0058499E"/>
    <w:rsid w:val="00586852"/>
    <w:rsid w:val="00596B77"/>
    <w:rsid w:val="0059718C"/>
    <w:rsid w:val="005A1C47"/>
    <w:rsid w:val="005A2D5E"/>
    <w:rsid w:val="005C4468"/>
    <w:rsid w:val="005C4F4B"/>
    <w:rsid w:val="005C5740"/>
    <w:rsid w:val="005D1234"/>
    <w:rsid w:val="005D53C7"/>
    <w:rsid w:val="005E2B45"/>
    <w:rsid w:val="005E6510"/>
    <w:rsid w:val="005E7B2E"/>
    <w:rsid w:val="005F00B4"/>
    <w:rsid w:val="005F357D"/>
    <w:rsid w:val="005F5669"/>
    <w:rsid w:val="00600974"/>
    <w:rsid w:val="006243F0"/>
    <w:rsid w:val="0063054F"/>
    <w:rsid w:val="006338C2"/>
    <w:rsid w:val="00633C8A"/>
    <w:rsid w:val="006364B6"/>
    <w:rsid w:val="00640A03"/>
    <w:rsid w:val="00640F1F"/>
    <w:rsid w:val="006476D8"/>
    <w:rsid w:val="00650CC7"/>
    <w:rsid w:val="00674BC8"/>
    <w:rsid w:val="00676199"/>
    <w:rsid w:val="00681E89"/>
    <w:rsid w:val="00685CF3"/>
    <w:rsid w:val="00695E4A"/>
    <w:rsid w:val="006A3F78"/>
    <w:rsid w:val="006C112F"/>
    <w:rsid w:val="006C544E"/>
    <w:rsid w:val="00715C57"/>
    <w:rsid w:val="007236C2"/>
    <w:rsid w:val="00731580"/>
    <w:rsid w:val="007350CE"/>
    <w:rsid w:val="00737404"/>
    <w:rsid w:val="007563DD"/>
    <w:rsid w:val="007859C8"/>
    <w:rsid w:val="0079017F"/>
    <w:rsid w:val="007902D5"/>
    <w:rsid w:val="007B6051"/>
    <w:rsid w:val="007C07B1"/>
    <w:rsid w:val="007C2433"/>
    <w:rsid w:val="007D0BEC"/>
    <w:rsid w:val="007D1679"/>
    <w:rsid w:val="007D2167"/>
    <w:rsid w:val="007D5A47"/>
    <w:rsid w:val="007E3FA8"/>
    <w:rsid w:val="007F4569"/>
    <w:rsid w:val="007F4755"/>
    <w:rsid w:val="00801940"/>
    <w:rsid w:val="00812A12"/>
    <w:rsid w:val="00813F8B"/>
    <w:rsid w:val="00814148"/>
    <w:rsid w:val="00814F9E"/>
    <w:rsid w:val="0081722F"/>
    <w:rsid w:val="0083091B"/>
    <w:rsid w:val="00840B1A"/>
    <w:rsid w:val="00841D40"/>
    <w:rsid w:val="00854302"/>
    <w:rsid w:val="00862620"/>
    <w:rsid w:val="00864E6D"/>
    <w:rsid w:val="00865DCB"/>
    <w:rsid w:val="008723BA"/>
    <w:rsid w:val="00875677"/>
    <w:rsid w:val="0089782A"/>
    <w:rsid w:val="008A0462"/>
    <w:rsid w:val="008B0D41"/>
    <w:rsid w:val="008D0B54"/>
    <w:rsid w:val="008D657F"/>
    <w:rsid w:val="008E5552"/>
    <w:rsid w:val="008E61B6"/>
    <w:rsid w:val="008F08DA"/>
    <w:rsid w:val="008F4CC4"/>
    <w:rsid w:val="00900C27"/>
    <w:rsid w:val="0090458C"/>
    <w:rsid w:val="0091106A"/>
    <w:rsid w:val="009245EF"/>
    <w:rsid w:val="00927CEA"/>
    <w:rsid w:val="00936366"/>
    <w:rsid w:val="00941D91"/>
    <w:rsid w:val="00967105"/>
    <w:rsid w:val="00981E9F"/>
    <w:rsid w:val="00983A63"/>
    <w:rsid w:val="00991DA8"/>
    <w:rsid w:val="009A0929"/>
    <w:rsid w:val="009A3A72"/>
    <w:rsid w:val="009B3923"/>
    <w:rsid w:val="009C1552"/>
    <w:rsid w:val="009D695E"/>
    <w:rsid w:val="009E1BDE"/>
    <w:rsid w:val="009F1CD7"/>
    <w:rsid w:val="00A07482"/>
    <w:rsid w:val="00A07769"/>
    <w:rsid w:val="00A16BA2"/>
    <w:rsid w:val="00A2615E"/>
    <w:rsid w:val="00A3047F"/>
    <w:rsid w:val="00A370C5"/>
    <w:rsid w:val="00A376F0"/>
    <w:rsid w:val="00A4136E"/>
    <w:rsid w:val="00A4220B"/>
    <w:rsid w:val="00A45065"/>
    <w:rsid w:val="00A475D8"/>
    <w:rsid w:val="00A52CF9"/>
    <w:rsid w:val="00A72A23"/>
    <w:rsid w:val="00A862AF"/>
    <w:rsid w:val="00A941FB"/>
    <w:rsid w:val="00AA04E4"/>
    <w:rsid w:val="00AA2ACB"/>
    <w:rsid w:val="00AA2B71"/>
    <w:rsid w:val="00AA6F62"/>
    <w:rsid w:val="00AB2F81"/>
    <w:rsid w:val="00AD644E"/>
    <w:rsid w:val="00AE3A79"/>
    <w:rsid w:val="00AF2895"/>
    <w:rsid w:val="00B077AC"/>
    <w:rsid w:val="00B506A9"/>
    <w:rsid w:val="00B60008"/>
    <w:rsid w:val="00B627FE"/>
    <w:rsid w:val="00B66347"/>
    <w:rsid w:val="00B92B1A"/>
    <w:rsid w:val="00B94E07"/>
    <w:rsid w:val="00BA7652"/>
    <w:rsid w:val="00BB1936"/>
    <w:rsid w:val="00BC4ED6"/>
    <w:rsid w:val="00BD3600"/>
    <w:rsid w:val="00BE071C"/>
    <w:rsid w:val="00BE57D1"/>
    <w:rsid w:val="00BE5840"/>
    <w:rsid w:val="00BF3E9D"/>
    <w:rsid w:val="00C04A27"/>
    <w:rsid w:val="00C21C64"/>
    <w:rsid w:val="00C227E8"/>
    <w:rsid w:val="00C402EA"/>
    <w:rsid w:val="00C46C5A"/>
    <w:rsid w:val="00C56222"/>
    <w:rsid w:val="00C64E77"/>
    <w:rsid w:val="00C83281"/>
    <w:rsid w:val="00CA625D"/>
    <w:rsid w:val="00CB36D0"/>
    <w:rsid w:val="00CB52F8"/>
    <w:rsid w:val="00CD1A46"/>
    <w:rsid w:val="00CD3355"/>
    <w:rsid w:val="00CD5814"/>
    <w:rsid w:val="00CE723B"/>
    <w:rsid w:val="00CF26D9"/>
    <w:rsid w:val="00D056AB"/>
    <w:rsid w:val="00D06F87"/>
    <w:rsid w:val="00D106E4"/>
    <w:rsid w:val="00D14E26"/>
    <w:rsid w:val="00D2188C"/>
    <w:rsid w:val="00D30D72"/>
    <w:rsid w:val="00D3409F"/>
    <w:rsid w:val="00D377D1"/>
    <w:rsid w:val="00D533A8"/>
    <w:rsid w:val="00D577A5"/>
    <w:rsid w:val="00D611F1"/>
    <w:rsid w:val="00D62212"/>
    <w:rsid w:val="00D7471E"/>
    <w:rsid w:val="00D80536"/>
    <w:rsid w:val="00D92223"/>
    <w:rsid w:val="00DA14C7"/>
    <w:rsid w:val="00DB15ED"/>
    <w:rsid w:val="00DC14F5"/>
    <w:rsid w:val="00DD37F7"/>
    <w:rsid w:val="00DD4FAD"/>
    <w:rsid w:val="00DE4736"/>
    <w:rsid w:val="00DF48E3"/>
    <w:rsid w:val="00E04E86"/>
    <w:rsid w:val="00E04F69"/>
    <w:rsid w:val="00E15231"/>
    <w:rsid w:val="00E25F62"/>
    <w:rsid w:val="00E26547"/>
    <w:rsid w:val="00E2699E"/>
    <w:rsid w:val="00E27B95"/>
    <w:rsid w:val="00E4146F"/>
    <w:rsid w:val="00E45F99"/>
    <w:rsid w:val="00E4764E"/>
    <w:rsid w:val="00E52A00"/>
    <w:rsid w:val="00E71ED7"/>
    <w:rsid w:val="00E743BF"/>
    <w:rsid w:val="00E8238E"/>
    <w:rsid w:val="00E83ABA"/>
    <w:rsid w:val="00E86ACE"/>
    <w:rsid w:val="00E93249"/>
    <w:rsid w:val="00EA15BA"/>
    <w:rsid w:val="00EA5399"/>
    <w:rsid w:val="00EB4385"/>
    <w:rsid w:val="00EB7799"/>
    <w:rsid w:val="00ED3117"/>
    <w:rsid w:val="00EE1590"/>
    <w:rsid w:val="00EE7E2B"/>
    <w:rsid w:val="00F07DBA"/>
    <w:rsid w:val="00F1424B"/>
    <w:rsid w:val="00F169F6"/>
    <w:rsid w:val="00F356C7"/>
    <w:rsid w:val="00F408F1"/>
    <w:rsid w:val="00F4176C"/>
    <w:rsid w:val="00F474BF"/>
    <w:rsid w:val="00F5155E"/>
    <w:rsid w:val="00F52E13"/>
    <w:rsid w:val="00F54776"/>
    <w:rsid w:val="00F835CE"/>
    <w:rsid w:val="00FA093D"/>
    <w:rsid w:val="00FC15FF"/>
    <w:rsid w:val="00FC4182"/>
    <w:rsid w:val="00FD370B"/>
    <w:rsid w:val="00FD5CD9"/>
    <w:rsid w:val="00FE19E9"/>
    <w:rsid w:val="00FE475B"/>
    <w:rsid w:val="00FE5898"/>
    <w:rsid w:val="00FF477E"/>
    <w:rsid w:val="00FF551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9DC2C"/>
  <w15:chartTrackingRefBased/>
  <w15:docId w15:val="{424702F2-630C-4D7F-ADC7-CC9C240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7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customStyle="1" w:styleId="HeaderExhibit">
    <w:name w:val="Header Exhibit"/>
    <w:basedOn w:val="PlainText"/>
    <w:autoRedefine/>
    <w:qFormat/>
    <w:rsid w:val="008B0D41"/>
    <w:pPr>
      <w:spacing w:after="240"/>
      <w:jc w:val="center"/>
    </w:pPr>
    <w:rPr>
      <w:rFonts w:ascii="Calibri" w:hAnsi="Calibri"/>
      <w:b/>
      <w:caps/>
      <w:noProof/>
      <w:sz w:val="40"/>
      <w:szCs w:val="4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4E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4E07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6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E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E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E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5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00974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3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311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2615E"/>
    <w:rPr>
      <w:b/>
      <w:bCs/>
    </w:rPr>
  </w:style>
  <w:style w:type="paragraph" w:customStyle="1" w:styleId="Item1">
    <w:name w:val="Item (1)"/>
    <w:basedOn w:val="Normal"/>
    <w:link w:val="Item1Char"/>
    <w:qFormat/>
    <w:rsid w:val="00097F21"/>
    <w:pPr>
      <w:tabs>
        <w:tab w:val="num" w:pos="2880"/>
      </w:tabs>
      <w:spacing w:after="240"/>
      <w:ind w:left="3600" w:hanging="720"/>
    </w:pPr>
    <w:rPr>
      <w:rFonts w:ascii="Calibri" w:hAnsi="Calibri" w:cs="Calibri"/>
    </w:rPr>
  </w:style>
  <w:style w:type="character" w:customStyle="1" w:styleId="Item1Char">
    <w:name w:val="Item (1) Char"/>
    <w:link w:val="Item1"/>
    <w:rsid w:val="00097F21"/>
    <w:rPr>
      <w:rFonts w:ascii="Calibri" w:eastAsia="Times New Roman" w:hAnsi="Calibri" w:cs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sa.acgov.org/do-business-with-us/contracting-opportuniti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da2d04-0b79-4859-9945-2f68777d8c22">FP5PKM64KWNT-3317579-324</_dlc_DocId>
    <_dlc_DocIdUrl xmlns="dada2d04-0b79-4859-9945-2f68777d8c22">
      <Url>https://acgovt.sharepoint.com/sites/AlamedaCountyDocumentCenter/_layouts/15/DocIdRedir.aspx?ID=FP5PKM64KWNT-3317579-324</Url>
      <Description>FP5PKM64KWNT-3317579-324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F946AD0CF3845ACE9342D196F4C35" ma:contentTypeVersion="5" ma:contentTypeDescription="Create a new document." ma:contentTypeScope="" ma:versionID="cf4f74065b507743c8eed4300cf9aadb">
  <xsd:schema xmlns:xsd="http://www.w3.org/2001/XMLSchema" xmlns:xs="http://www.w3.org/2001/XMLSchema" xmlns:p="http://schemas.microsoft.com/office/2006/metadata/properties" xmlns:ns2="dada2d04-0b79-4859-9945-2f68777d8c22" xmlns:ns3="5eec5232-41af-4cf8-866b-d191d492d560" targetNamespace="http://schemas.microsoft.com/office/2006/metadata/properties" ma:root="true" ma:fieldsID="64c2d38f7172825982176ad326d60594" ns2:_="" ns3:_="">
    <xsd:import namespace="dada2d04-0b79-4859-9945-2f68777d8c22"/>
    <xsd:import namespace="5eec5232-41af-4cf8-866b-d191d492d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d04-0b79-4859-9945-2f68777d8c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c5232-41af-4cf8-866b-d191d492d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6124D-EF22-4CAA-927C-7A604B534A9B}">
  <ds:schemaRefs>
    <ds:schemaRef ds:uri="http://schemas.microsoft.com/office/2006/metadata/properties"/>
    <ds:schemaRef ds:uri="http://schemas.microsoft.com/office/infopath/2007/PartnerControls"/>
    <ds:schemaRef ds:uri="dada2d04-0b79-4859-9945-2f68777d8c22"/>
  </ds:schemaRefs>
</ds:datastoreItem>
</file>

<file path=customXml/itemProps2.xml><?xml version="1.0" encoding="utf-8"?>
<ds:datastoreItem xmlns:ds="http://schemas.openxmlformats.org/officeDocument/2006/customXml" ds:itemID="{008ACF3A-C209-46C2-A115-76DC795D1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d04-0b79-4859-9945-2f68777d8c22"/>
    <ds:schemaRef ds:uri="5eec5232-41af-4cf8-866b-d191d492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D9579-191D-4331-9A32-CA3943A819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A36E59-F8F3-4627-B89F-DA53FD0108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2497F0-1B0E-4307-B3B1-8287D1B12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RFPQ QA Template</vt:lpstr>
    </vt:vector>
  </TitlesOfParts>
  <Company/>
  <LinksUpToDate>false</LinksUpToDate>
  <CharactersWithSpaces>8823</CharactersWithSpaces>
  <SharedDoc>false</SharedDoc>
  <HLinks>
    <vt:vector size="6" baseType="variant"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https://gsa.acgov.org/do-business-with-us/contracting-opportunities/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RFPQ QA Template</dc:title>
  <dc:subject/>
  <dc:creator>Truong, Thuy   GSA - Purchasing Department</dc:creator>
  <cp:keywords/>
  <dc:description/>
  <cp:lastModifiedBy>Odhiambo, Erika, SSA</cp:lastModifiedBy>
  <cp:revision>6</cp:revision>
  <dcterms:created xsi:type="dcterms:W3CDTF">2023-11-30T00:24:00Z</dcterms:created>
  <dcterms:modified xsi:type="dcterms:W3CDTF">2023-11-30T00:30:00Z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0x010100C81F946AD0CF3845ACE9342D196F4C35</vt:lpwstr>
  </property>
  <property fmtid="{D5CDD505-2E9C-101B-9397-08002B2CF9AE}" pid="3" name="_dlc_DocIdItemGuid">
    <vt:lpwstr>2cef1f2e-8719-4df8-8d82-9f694c93a597</vt:lpwstr>
  </property>
  <property fmtid="{D5CDD505-2E9C-101B-9397-08002B2CF9AE}" pid="4" name="GrammarlyDocumentId">
    <vt:lpwstr>88f1a86ea9854755bbcfd42ba96e506983d024a0cfbb91d9ef1d85308e017a5e</vt:lpwstr>
  </property>
</Properties>
</file>