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25E8" w14:textId="77777777" w:rsidR="007A5EEE" w:rsidRDefault="007A5EEE">
      <w:pPr>
        <w:jc w:val="center"/>
        <w:rPr>
          <w:sz w:val="24"/>
          <w:szCs w:val="24"/>
        </w:rPr>
      </w:pPr>
    </w:p>
    <w:p w14:paraId="1A7B0D25" w14:textId="1D76EB15" w:rsidR="00414A10" w:rsidRDefault="00414A10">
      <w:pPr>
        <w:jc w:val="center"/>
        <w:rPr>
          <w:rFonts w:ascii="Calibri" w:eastAsia="Calibri" w:hAnsi="Calibri" w:cs="Calibri"/>
          <w:b/>
          <w:sz w:val="40"/>
          <w:szCs w:val="40"/>
        </w:rPr>
      </w:pPr>
      <w:r>
        <w:rPr>
          <w:rFonts w:ascii="Calibri" w:eastAsia="Calibri" w:hAnsi="Calibri" w:cs="Calibri"/>
          <w:b/>
          <w:sz w:val="40"/>
          <w:szCs w:val="40"/>
        </w:rPr>
        <w:t>ALAMEDA COUNTY HEALTH</w:t>
      </w:r>
      <w:r w:rsidR="0004676E">
        <w:rPr>
          <w:rFonts w:ascii="Calibri" w:eastAsia="Calibri" w:hAnsi="Calibri" w:cs="Calibri"/>
          <w:b/>
          <w:sz w:val="40"/>
          <w:szCs w:val="40"/>
        </w:rPr>
        <w:t xml:space="preserve"> </w:t>
      </w:r>
    </w:p>
    <w:p w14:paraId="16C1320E" w14:textId="77777777" w:rsidR="007A5EEE" w:rsidRPr="00EA6796" w:rsidRDefault="007A5EEE">
      <w:pPr>
        <w:jc w:val="center"/>
        <w:rPr>
          <w:rFonts w:ascii="Calibri" w:eastAsia="Calibri" w:hAnsi="Calibri" w:cs="Calibri"/>
          <w:b/>
        </w:rPr>
      </w:pPr>
    </w:p>
    <w:p w14:paraId="0CAA08FF" w14:textId="77777777" w:rsidR="007A5EEE" w:rsidRDefault="00A93680">
      <w:pPr>
        <w:pStyle w:val="Title"/>
        <w:rPr>
          <w:rFonts w:ascii="Calibri" w:eastAsia="Calibri" w:hAnsi="Calibri" w:cs="Calibri"/>
          <w:sz w:val="40"/>
          <w:szCs w:val="40"/>
        </w:rPr>
      </w:pPr>
      <w:r>
        <w:rPr>
          <w:rFonts w:ascii="Calibri" w:eastAsia="Calibri" w:hAnsi="Calibri" w:cs="Calibri"/>
          <w:sz w:val="40"/>
          <w:szCs w:val="40"/>
        </w:rPr>
        <w:t>QUESTIONS &amp; ANSWERS</w:t>
      </w:r>
    </w:p>
    <w:p w14:paraId="7227E42B" w14:textId="4B00D5FE" w:rsidR="007A5EEE" w:rsidRDefault="00915302">
      <w:pPr>
        <w:keepNext/>
        <w:jc w:val="center"/>
        <w:rPr>
          <w:rFonts w:ascii="Calibri" w:eastAsia="Calibri" w:hAnsi="Calibri" w:cs="Calibri"/>
          <w:b/>
          <w:sz w:val="40"/>
          <w:szCs w:val="40"/>
        </w:rPr>
      </w:pPr>
      <w:r>
        <w:rPr>
          <w:rFonts w:ascii="Calibri" w:eastAsia="Calibri" w:hAnsi="Calibri" w:cs="Calibri"/>
          <w:b/>
          <w:sz w:val="28"/>
          <w:szCs w:val="28"/>
        </w:rPr>
        <w:t>for</w:t>
      </w:r>
      <w:r w:rsidR="00A93680">
        <w:rPr>
          <w:rFonts w:ascii="Calibri" w:eastAsia="Calibri" w:hAnsi="Calibri" w:cs="Calibri"/>
          <w:b/>
          <w:sz w:val="40"/>
          <w:szCs w:val="40"/>
        </w:rPr>
        <w:br/>
      </w:r>
      <w:r w:rsidR="00A93680" w:rsidRPr="00D81D39">
        <w:rPr>
          <w:rFonts w:ascii="Calibri" w:eastAsia="Calibri" w:hAnsi="Calibri" w:cs="Calibri"/>
          <w:b/>
          <w:sz w:val="40"/>
          <w:szCs w:val="40"/>
        </w:rPr>
        <w:t>RF</w:t>
      </w:r>
      <w:r w:rsidR="00CD11B4">
        <w:rPr>
          <w:rFonts w:ascii="Calibri" w:eastAsia="Calibri" w:hAnsi="Calibri" w:cs="Calibri"/>
          <w:b/>
          <w:sz w:val="40"/>
          <w:szCs w:val="40"/>
        </w:rPr>
        <w:t>Q</w:t>
      </w:r>
      <w:r w:rsidR="00A93680" w:rsidRPr="00D81D39">
        <w:rPr>
          <w:rFonts w:ascii="Calibri" w:eastAsia="Calibri" w:hAnsi="Calibri" w:cs="Calibri"/>
          <w:b/>
          <w:sz w:val="40"/>
          <w:szCs w:val="40"/>
        </w:rPr>
        <w:t xml:space="preserve"> No. </w:t>
      </w:r>
      <w:r w:rsidR="00A8238F">
        <w:rPr>
          <w:rFonts w:ascii="Calibri" w:eastAsia="Calibri" w:hAnsi="Calibri" w:cs="Calibri"/>
          <w:b/>
          <w:sz w:val="40"/>
          <w:szCs w:val="40"/>
        </w:rPr>
        <w:t>ACH</w:t>
      </w:r>
      <w:r w:rsidR="00A93680" w:rsidRPr="00D81D39">
        <w:rPr>
          <w:rFonts w:ascii="Calibri" w:eastAsia="Calibri" w:hAnsi="Calibri" w:cs="Calibri"/>
          <w:b/>
          <w:sz w:val="40"/>
          <w:szCs w:val="40"/>
        </w:rPr>
        <w:t>-900</w:t>
      </w:r>
      <w:r w:rsidR="00A8238F">
        <w:rPr>
          <w:rFonts w:ascii="Calibri" w:eastAsia="Calibri" w:hAnsi="Calibri" w:cs="Calibri"/>
          <w:b/>
          <w:sz w:val="40"/>
          <w:szCs w:val="40"/>
        </w:rPr>
        <w:t>325</w:t>
      </w:r>
    </w:p>
    <w:p w14:paraId="7F693509" w14:textId="77777777" w:rsidR="007A5EEE" w:rsidRPr="00EA6796" w:rsidRDefault="00A93680">
      <w:pPr>
        <w:keepNext/>
        <w:jc w:val="center"/>
        <w:rPr>
          <w:rFonts w:ascii="Calibri" w:eastAsia="Calibri" w:hAnsi="Calibri" w:cs="Calibri"/>
          <w:b/>
          <w:sz w:val="28"/>
          <w:szCs w:val="28"/>
        </w:rPr>
      </w:pPr>
      <w:r w:rsidRPr="00EA6796">
        <w:rPr>
          <w:rFonts w:ascii="Calibri" w:eastAsia="Calibri" w:hAnsi="Calibri" w:cs="Calibri"/>
          <w:b/>
          <w:sz w:val="28"/>
          <w:szCs w:val="28"/>
        </w:rPr>
        <w:t>for</w:t>
      </w:r>
    </w:p>
    <w:p w14:paraId="51D75AA5" w14:textId="77777777" w:rsidR="00BB2709" w:rsidRDefault="00BB2709" w:rsidP="00BB2709">
      <w:pPr>
        <w:pStyle w:val="RFP-QHeader2"/>
        <w:rPr>
          <w:rFonts w:ascii="Calibri" w:hAnsi="Calibri" w:cs="Calibri"/>
          <w:sz w:val="38"/>
          <w:szCs w:val="38"/>
        </w:rPr>
      </w:pPr>
      <w:r w:rsidRPr="665EE3CE">
        <w:rPr>
          <w:rFonts w:ascii="Calibri" w:hAnsi="Calibri" w:cs="Calibri"/>
          <w:sz w:val="38"/>
          <w:szCs w:val="38"/>
        </w:rPr>
        <w:t xml:space="preserve">Community Care Expansion Preservation Operating Subsidies </w:t>
      </w:r>
    </w:p>
    <w:p w14:paraId="592CDEF7" w14:textId="4DBD513E" w:rsidR="00B12148" w:rsidRPr="00B12148" w:rsidRDefault="00BB2709" w:rsidP="00BB2709">
      <w:pPr>
        <w:pStyle w:val="RFP-QHeader2"/>
        <w:rPr>
          <w:rFonts w:ascii="Calibri" w:eastAsia="Calibri" w:hAnsi="Calibri" w:cs="Calibri"/>
          <w:b w:val="0"/>
        </w:rPr>
      </w:pPr>
      <w:r w:rsidRPr="665EE3CE">
        <w:rPr>
          <w:rFonts w:ascii="Calibri" w:hAnsi="Calibri" w:cs="Calibri"/>
          <w:sz w:val="38"/>
          <w:szCs w:val="38"/>
        </w:rPr>
        <w:t>&amp; Behavioral Health Bridge Housing Auxiliary Payments</w:t>
      </w:r>
    </w:p>
    <w:p w14:paraId="0B441669" w14:textId="77777777" w:rsidR="00BB2709" w:rsidRPr="00915302" w:rsidRDefault="00BB2709">
      <w:pPr>
        <w:jc w:val="center"/>
        <w:rPr>
          <w:rFonts w:ascii="Calibri" w:eastAsia="Calibri" w:hAnsi="Calibri" w:cs="Calibri"/>
          <w:b/>
          <w:sz w:val="16"/>
          <w:szCs w:val="16"/>
        </w:rPr>
      </w:pPr>
    </w:p>
    <w:p w14:paraId="0E348D12" w14:textId="75D86FC0" w:rsidR="00A93680" w:rsidRDefault="00A93680">
      <w:pPr>
        <w:jc w:val="center"/>
        <w:rPr>
          <w:rFonts w:ascii="Calibri" w:eastAsia="Calibri" w:hAnsi="Calibri" w:cs="Calibri"/>
          <w:b/>
          <w:sz w:val="28"/>
          <w:szCs w:val="28"/>
        </w:rPr>
      </w:pPr>
      <w:r>
        <w:rPr>
          <w:rFonts w:ascii="Calibri" w:eastAsia="Calibri" w:hAnsi="Calibri" w:cs="Calibri"/>
          <w:b/>
          <w:sz w:val="28"/>
          <w:szCs w:val="28"/>
        </w:rPr>
        <w:t xml:space="preserve">Summary of Q&amp;A Submitted </w:t>
      </w:r>
    </w:p>
    <w:p w14:paraId="11149367" w14:textId="4E488558" w:rsidR="007A5EEE" w:rsidRDefault="00A93680">
      <w:pPr>
        <w:jc w:val="center"/>
        <w:rPr>
          <w:rFonts w:ascii="Calibri" w:eastAsia="Calibri" w:hAnsi="Calibri" w:cs="Calibri"/>
          <w:b/>
          <w:sz w:val="28"/>
          <w:szCs w:val="28"/>
        </w:rPr>
      </w:pPr>
      <w:r>
        <w:rPr>
          <w:rFonts w:ascii="Calibri" w:eastAsia="Calibri" w:hAnsi="Calibri" w:cs="Calibri"/>
          <w:b/>
          <w:sz w:val="28"/>
          <w:szCs w:val="28"/>
        </w:rPr>
        <w:t xml:space="preserve">Networking/Bidders Conferences held on </w:t>
      </w:r>
      <w:r w:rsidR="00BB2709">
        <w:rPr>
          <w:rFonts w:ascii="Calibri" w:eastAsia="Calibri" w:hAnsi="Calibri" w:cs="Calibri"/>
          <w:b/>
          <w:sz w:val="28"/>
          <w:szCs w:val="28"/>
        </w:rPr>
        <w:t xml:space="preserve">October 16 and 17, </w:t>
      </w:r>
      <w:proofErr w:type="gramStart"/>
      <w:r w:rsidR="00BB2709">
        <w:rPr>
          <w:rFonts w:ascii="Calibri" w:eastAsia="Calibri" w:hAnsi="Calibri" w:cs="Calibri"/>
          <w:b/>
          <w:sz w:val="28"/>
          <w:szCs w:val="28"/>
        </w:rPr>
        <w:t>2024</w:t>
      </w:r>
      <w:proofErr w:type="gramEnd"/>
    </w:p>
    <w:p w14:paraId="5D67A22B" w14:textId="77777777" w:rsidR="007A5EEE" w:rsidRDefault="007A5EEE">
      <w:pPr>
        <w:jc w:val="center"/>
        <w:rPr>
          <w:rFonts w:ascii="Calibri" w:eastAsia="Calibri" w:hAnsi="Calibri" w:cs="Calibri"/>
          <w:b/>
          <w:sz w:val="28"/>
          <w:szCs w:val="28"/>
        </w:rPr>
      </w:pPr>
    </w:p>
    <w:p w14:paraId="6BC53DF6" w14:textId="77777777" w:rsidR="007A5EEE" w:rsidRDefault="00A93680">
      <w:pPr>
        <w:pBdr>
          <w:top w:val="single" w:sz="4" w:space="1" w:color="000000"/>
          <w:left w:val="single" w:sz="4" w:space="1" w:color="000000"/>
          <w:bottom w:val="single" w:sz="4" w:space="1" w:color="000000"/>
          <w:right w:val="single" w:sz="4" w:space="1" w:color="000000"/>
        </w:pBdr>
        <w:jc w:val="center"/>
        <w:rPr>
          <w:rFonts w:ascii="Calibri" w:eastAsia="Calibri" w:hAnsi="Calibri" w:cs="Calibri"/>
          <w:b/>
          <w:smallCaps/>
          <w:sz w:val="24"/>
          <w:szCs w:val="24"/>
          <w:u w:val="single"/>
        </w:rPr>
      </w:pPr>
      <w:r>
        <w:rPr>
          <w:rFonts w:ascii="Calibri" w:eastAsia="Calibri" w:hAnsi="Calibri" w:cs="Calibri"/>
          <w:b/>
          <w:smallCaps/>
          <w:sz w:val="24"/>
          <w:szCs w:val="24"/>
          <w:u w:val="single"/>
        </w:rPr>
        <w:t>Notice to Bidders</w:t>
      </w:r>
    </w:p>
    <w:p w14:paraId="08E6E741" w14:textId="17CAE87C" w:rsidR="007A5EEE" w:rsidRDefault="00A93680">
      <w:pPr>
        <w:pBdr>
          <w:top w:val="single" w:sz="4" w:space="1" w:color="000000"/>
          <w:left w:val="single" w:sz="4" w:space="1" w:color="000000"/>
          <w:bottom w:val="single" w:sz="4" w:space="1" w:color="000000"/>
          <w:right w:val="single" w:sz="4" w:space="1" w:color="000000"/>
        </w:pBdr>
        <w:tabs>
          <w:tab w:val="center" w:pos="4680"/>
          <w:tab w:val="right" w:pos="9360"/>
        </w:tabs>
        <w:rPr>
          <w:rFonts w:ascii="Calibri" w:eastAsia="Calibri" w:hAnsi="Calibri" w:cs="Calibri"/>
          <w:smallCaps/>
          <w:sz w:val="24"/>
          <w:szCs w:val="24"/>
        </w:rPr>
      </w:pPr>
      <w:r>
        <w:rPr>
          <w:rFonts w:ascii="Calibri" w:eastAsia="Calibri" w:hAnsi="Calibri" w:cs="Calibri"/>
          <w:smallCaps/>
          <w:sz w:val="24"/>
          <w:szCs w:val="24"/>
        </w:rPr>
        <w:t xml:space="preserve">This County of Alameda, HCSA </w:t>
      </w:r>
      <w:r w:rsidR="00591924">
        <w:rPr>
          <w:rFonts w:ascii="Calibri" w:eastAsia="Calibri" w:hAnsi="Calibri" w:cs="Calibri"/>
          <w:smallCaps/>
          <w:sz w:val="24"/>
          <w:szCs w:val="24"/>
        </w:rPr>
        <w:t xml:space="preserve">Questions &amp; Answers (Q&amp;A) Document </w:t>
      </w:r>
      <w:r>
        <w:rPr>
          <w:rFonts w:ascii="Calibri" w:eastAsia="Calibri" w:hAnsi="Calibri" w:cs="Calibri"/>
          <w:smallCaps/>
          <w:sz w:val="24"/>
          <w:szCs w:val="24"/>
        </w:rPr>
        <w:t>has been electronically issued to potential bidders via e-mail based on the bidder</w:t>
      </w:r>
      <w:r w:rsidR="00591924">
        <w:rPr>
          <w:rFonts w:ascii="Calibri" w:eastAsia="Calibri" w:hAnsi="Calibri" w:cs="Calibri"/>
          <w:smallCaps/>
          <w:sz w:val="24"/>
          <w:szCs w:val="24"/>
        </w:rPr>
        <w:t>s conference</w:t>
      </w:r>
      <w:r>
        <w:rPr>
          <w:rFonts w:ascii="Calibri" w:eastAsia="Calibri" w:hAnsi="Calibri" w:cs="Calibri"/>
          <w:smallCaps/>
          <w:sz w:val="24"/>
          <w:szCs w:val="24"/>
        </w:rPr>
        <w:t xml:space="preserve"> sign-in sheets</w:t>
      </w:r>
      <w:r w:rsidR="00591924">
        <w:rPr>
          <w:rFonts w:ascii="Calibri" w:eastAsia="Calibri" w:hAnsi="Calibri" w:cs="Calibri"/>
          <w:smallCaps/>
          <w:sz w:val="24"/>
          <w:szCs w:val="24"/>
        </w:rPr>
        <w:t xml:space="preserve"> or from other sources</w:t>
      </w:r>
      <w:r>
        <w:rPr>
          <w:rFonts w:ascii="Calibri" w:eastAsia="Calibri" w:hAnsi="Calibri" w:cs="Calibri"/>
          <w:smallCaps/>
          <w:sz w:val="24"/>
          <w:szCs w:val="24"/>
        </w:rPr>
        <w:t xml:space="preserve">.  This </w:t>
      </w:r>
      <w:r w:rsidR="00591924">
        <w:rPr>
          <w:rFonts w:ascii="Calibri" w:eastAsia="Calibri" w:hAnsi="Calibri" w:cs="Calibri"/>
          <w:smallCaps/>
          <w:sz w:val="24"/>
          <w:szCs w:val="24"/>
        </w:rPr>
        <w:t xml:space="preserve">Q&amp;A Document </w:t>
      </w:r>
      <w:r>
        <w:rPr>
          <w:rFonts w:ascii="Calibri" w:eastAsia="Calibri" w:hAnsi="Calibri" w:cs="Calibri"/>
          <w:smallCaps/>
          <w:sz w:val="24"/>
          <w:szCs w:val="24"/>
        </w:rPr>
        <w:t>will also be posted on the General Services Agency (GSA) Contracting Opportunities website located at</w:t>
      </w:r>
      <w:r w:rsidR="00591924">
        <w:rPr>
          <w:rFonts w:ascii="Calibri" w:eastAsia="Calibri" w:hAnsi="Calibri" w:cs="Calibri"/>
          <w:smallCaps/>
          <w:sz w:val="24"/>
          <w:szCs w:val="24"/>
        </w:rPr>
        <w:t xml:space="preserve"> </w:t>
      </w:r>
      <w:hyperlink r:id="rId8" w:history="1">
        <w:r w:rsidR="00591924">
          <w:rPr>
            <w:rStyle w:val="Hyperlink"/>
            <w:rFonts w:asciiTheme="majorHAnsi" w:hAnsiTheme="majorHAnsi" w:cstheme="majorHAnsi"/>
            <w:smallCaps/>
            <w:sz w:val="24"/>
            <w:szCs w:val="24"/>
          </w:rPr>
          <w:t>https://www.acgov.org/gsa_app/gsa/purchasing/bid_content/contractopportunities.jsp</w:t>
        </w:r>
      </w:hyperlink>
      <w:r w:rsidR="00591924">
        <w:rPr>
          <w:rFonts w:asciiTheme="majorHAnsi" w:hAnsiTheme="majorHAnsi" w:cstheme="majorHAnsi"/>
          <w:smallCaps/>
          <w:sz w:val="24"/>
          <w:szCs w:val="24"/>
        </w:rPr>
        <w:t xml:space="preserve"> </w:t>
      </w:r>
      <w:r>
        <w:rPr>
          <w:rFonts w:ascii="Calibri" w:eastAsia="Calibri" w:hAnsi="Calibri" w:cs="Calibri"/>
          <w:smallCaps/>
          <w:sz w:val="24"/>
          <w:szCs w:val="24"/>
        </w:rPr>
        <w:t xml:space="preserve"> </w:t>
      </w:r>
    </w:p>
    <w:p w14:paraId="74AEAF30" w14:textId="30702BF7" w:rsidR="00027A32" w:rsidRDefault="00027A32" w:rsidP="0A6112B1">
      <w:pPr>
        <w:pStyle w:val="NormalWeb"/>
        <w:shd w:val="clear" w:color="auto" w:fill="FFFFFF" w:themeFill="background1"/>
        <w:rPr>
          <w:rFonts w:eastAsia="Calibri"/>
          <w:b/>
          <w:bCs/>
          <w:sz w:val="26"/>
          <w:szCs w:val="26"/>
        </w:rPr>
      </w:pPr>
    </w:p>
    <w:tbl>
      <w:tblPr>
        <w:tblStyle w:val="TableGrid"/>
        <w:tblW w:w="10903" w:type="dxa"/>
        <w:tblLook w:val="04A0" w:firstRow="1" w:lastRow="0" w:firstColumn="1" w:lastColumn="0" w:noHBand="0" w:noVBand="1"/>
      </w:tblPr>
      <w:tblGrid>
        <w:gridCol w:w="410"/>
        <w:gridCol w:w="4412"/>
        <w:gridCol w:w="6081"/>
      </w:tblGrid>
      <w:tr w:rsidR="00915302" w14:paraId="3703CF78" w14:textId="77777777" w:rsidTr="00C578E8">
        <w:trPr>
          <w:tblHeader/>
        </w:trPr>
        <w:tc>
          <w:tcPr>
            <w:tcW w:w="432" w:type="dxa"/>
            <w:shd w:val="clear" w:color="auto" w:fill="D9D9D9" w:themeFill="background1" w:themeFillShade="D9"/>
          </w:tcPr>
          <w:p w14:paraId="2B3BFA55" w14:textId="77777777" w:rsidR="00915302" w:rsidRDefault="00915302" w:rsidP="00C578E8"/>
        </w:tc>
        <w:tc>
          <w:tcPr>
            <w:tcW w:w="4693" w:type="dxa"/>
            <w:shd w:val="clear" w:color="auto" w:fill="D9D9D9" w:themeFill="background1" w:themeFillShade="D9"/>
          </w:tcPr>
          <w:p w14:paraId="36FF4D38" w14:textId="77777777" w:rsidR="00915302" w:rsidRPr="00915302" w:rsidRDefault="00915302" w:rsidP="00C578E8">
            <w:pPr>
              <w:jc w:val="center"/>
              <w:rPr>
                <w:rFonts w:asciiTheme="majorHAnsi" w:hAnsiTheme="majorHAnsi" w:cstheme="majorHAnsi"/>
                <w:b/>
                <w:bCs/>
              </w:rPr>
            </w:pPr>
            <w:r w:rsidRPr="00915302">
              <w:rPr>
                <w:rFonts w:asciiTheme="majorHAnsi" w:hAnsiTheme="majorHAnsi" w:cstheme="majorHAnsi"/>
                <w:b/>
                <w:bCs/>
              </w:rPr>
              <w:t>QUESTIONS</w:t>
            </w:r>
          </w:p>
        </w:tc>
        <w:tc>
          <w:tcPr>
            <w:tcW w:w="5778" w:type="dxa"/>
            <w:shd w:val="clear" w:color="auto" w:fill="D9D9D9" w:themeFill="background1" w:themeFillShade="D9"/>
          </w:tcPr>
          <w:p w14:paraId="7B423BFA" w14:textId="77777777" w:rsidR="00915302" w:rsidRPr="00915302" w:rsidRDefault="00915302" w:rsidP="00C578E8">
            <w:pPr>
              <w:tabs>
                <w:tab w:val="center" w:pos="1332"/>
              </w:tabs>
              <w:jc w:val="center"/>
              <w:rPr>
                <w:rFonts w:asciiTheme="majorHAnsi" w:hAnsiTheme="majorHAnsi" w:cstheme="majorHAnsi"/>
                <w:b/>
                <w:bCs/>
              </w:rPr>
            </w:pPr>
            <w:r w:rsidRPr="00915302">
              <w:rPr>
                <w:rFonts w:asciiTheme="majorHAnsi" w:hAnsiTheme="majorHAnsi" w:cstheme="majorHAnsi"/>
                <w:b/>
                <w:bCs/>
              </w:rPr>
              <w:t>RESPONSES</w:t>
            </w:r>
          </w:p>
        </w:tc>
      </w:tr>
      <w:tr w:rsidR="00915302" w14:paraId="2B4AEA03" w14:textId="77777777" w:rsidTr="00C578E8">
        <w:tc>
          <w:tcPr>
            <w:tcW w:w="432" w:type="dxa"/>
          </w:tcPr>
          <w:p w14:paraId="283B0CEE" w14:textId="77777777" w:rsidR="00915302" w:rsidRDefault="00915302" w:rsidP="00915302">
            <w:pPr>
              <w:pStyle w:val="ListParagraph"/>
              <w:numPr>
                <w:ilvl w:val="0"/>
                <w:numId w:val="13"/>
              </w:numPr>
              <w:ind w:left="340"/>
            </w:pPr>
          </w:p>
        </w:tc>
        <w:tc>
          <w:tcPr>
            <w:tcW w:w="4693" w:type="dxa"/>
          </w:tcPr>
          <w:p w14:paraId="7C6BD43C" w14:textId="77777777" w:rsidR="00915302" w:rsidRPr="00915302" w:rsidRDefault="00915302" w:rsidP="00C578E8">
            <w:pPr>
              <w:spacing w:line="252" w:lineRule="auto"/>
              <w:contextualSpacing/>
              <w:rPr>
                <w:rFonts w:asciiTheme="majorHAnsi" w:hAnsiTheme="majorHAnsi" w:cstheme="majorHAnsi"/>
                <w:sz w:val="21"/>
                <w:szCs w:val="21"/>
              </w:rPr>
            </w:pPr>
            <w:r w:rsidRPr="00915302">
              <w:rPr>
                <w:rFonts w:asciiTheme="majorHAnsi" w:hAnsiTheme="majorHAnsi" w:cstheme="majorHAnsi"/>
              </w:rPr>
              <w:t xml:space="preserve">Why does Alameda County Health (ACH), Housing and Homelessness Services (H&amp;H) require proposals to be submitted via hard copy and USB drive, while other departments only accept online submissions? </w:t>
            </w:r>
          </w:p>
        </w:tc>
        <w:tc>
          <w:tcPr>
            <w:tcW w:w="5778" w:type="dxa"/>
          </w:tcPr>
          <w:p w14:paraId="4FB9F077" w14:textId="77777777" w:rsidR="00915302" w:rsidRPr="00915302" w:rsidRDefault="00915302" w:rsidP="00C578E8">
            <w:pPr>
              <w:rPr>
                <w:rFonts w:asciiTheme="majorHAnsi" w:hAnsiTheme="majorHAnsi" w:cstheme="majorHAnsi"/>
                <w:i/>
                <w:iCs/>
              </w:rPr>
            </w:pPr>
            <w:r w:rsidRPr="00915302">
              <w:rPr>
                <w:rFonts w:asciiTheme="majorHAnsi" w:hAnsiTheme="majorHAnsi" w:cstheme="majorHAnsi"/>
                <w:i/>
                <w:iCs/>
              </w:rPr>
              <w:t xml:space="preserve">As stated in the RFQ on page 22, Section S.1.c, Bidders must submit one original hard copy bid (Exhibit A – Bid Response Packet, including additional required documentation), with original ink signatures and a USB flash drive with an exact copy of the paper proposal in a PDF file, preferably a single file. ACH H&amp;H does not have an online submission system </w:t>
            </w:r>
            <w:proofErr w:type="gramStart"/>
            <w:r w:rsidRPr="00915302">
              <w:rPr>
                <w:rFonts w:asciiTheme="majorHAnsi" w:hAnsiTheme="majorHAnsi" w:cstheme="majorHAnsi"/>
                <w:i/>
                <w:iCs/>
              </w:rPr>
              <w:t>at this time</w:t>
            </w:r>
            <w:proofErr w:type="gramEnd"/>
            <w:r w:rsidRPr="00915302">
              <w:rPr>
                <w:rFonts w:asciiTheme="majorHAnsi" w:hAnsiTheme="majorHAnsi" w:cstheme="majorHAnsi"/>
                <w:i/>
                <w:iCs/>
              </w:rPr>
              <w:t xml:space="preserve">. </w:t>
            </w:r>
          </w:p>
        </w:tc>
      </w:tr>
      <w:tr w:rsidR="00915302" w14:paraId="7B325E22" w14:textId="77777777" w:rsidTr="00C578E8">
        <w:tc>
          <w:tcPr>
            <w:tcW w:w="432" w:type="dxa"/>
          </w:tcPr>
          <w:p w14:paraId="74003454" w14:textId="77777777" w:rsidR="00915302" w:rsidRPr="00554CF7" w:rsidRDefault="00915302" w:rsidP="00915302">
            <w:pPr>
              <w:pStyle w:val="ListParagraph"/>
              <w:numPr>
                <w:ilvl w:val="0"/>
                <w:numId w:val="13"/>
              </w:numPr>
              <w:ind w:left="360"/>
              <w:rPr>
                <w:rFonts w:eastAsia="Times New Roman"/>
              </w:rPr>
            </w:pPr>
          </w:p>
        </w:tc>
        <w:tc>
          <w:tcPr>
            <w:tcW w:w="4693" w:type="dxa"/>
          </w:tcPr>
          <w:p w14:paraId="46E4600B" w14:textId="77777777" w:rsidR="00915302" w:rsidRPr="00915302" w:rsidRDefault="00915302" w:rsidP="00C578E8">
            <w:pPr>
              <w:rPr>
                <w:rFonts w:asciiTheme="majorHAnsi" w:eastAsia="Times New Roman" w:hAnsiTheme="majorHAnsi" w:cstheme="majorHAnsi"/>
              </w:rPr>
            </w:pPr>
            <w:r w:rsidRPr="00915302">
              <w:rPr>
                <w:rFonts w:asciiTheme="majorHAnsi" w:eastAsia="Times New Roman" w:hAnsiTheme="majorHAnsi" w:cstheme="majorHAnsi"/>
              </w:rPr>
              <w:t xml:space="preserve">Can Bidders apply for both Category 1 – Community Care Expansion Preservation Operating Subsidy Payments and Category 2 – Behavioral Health Bridge Housing Auxiliary Payments? </w:t>
            </w:r>
          </w:p>
        </w:tc>
        <w:tc>
          <w:tcPr>
            <w:tcW w:w="5778" w:type="dxa"/>
          </w:tcPr>
          <w:p w14:paraId="424564A1" w14:textId="77777777" w:rsidR="00915302" w:rsidRPr="00915302" w:rsidRDefault="00915302" w:rsidP="00C578E8">
            <w:pPr>
              <w:rPr>
                <w:rFonts w:asciiTheme="majorHAnsi" w:hAnsiTheme="majorHAnsi" w:cstheme="majorHAnsi"/>
              </w:rPr>
            </w:pPr>
            <w:r w:rsidRPr="00915302">
              <w:rPr>
                <w:rFonts w:asciiTheme="majorHAnsi" w:hAnsiTheme="majorHAnsi" w:cstheme="majorHAnsi"/>
                <w:i/>
                <w:iCs/>
              </w:rPr>
              <w:t xml:space="preserve">As stated in the RFQ on page 4, Section A. Intent, Bidders may apply to one or both categories.  </w:t>
            </w:r>
          </w:p>
        </w:tc>
      </w:tr>
      <w:tr w:rsidR="00915302" w14:paraId="2B41FA07" w14:textId="77777777" w:rsidTr="00C578E8">
        <w:tc>
          <w:tcPr>
            <w:tcW w:w="432" w:type="dxa"/>
          </w:tcPr>
          <w:p w14:paraId="565242E6" w14:textId="77777777" w:rsidR="00915302" w:rsidRPr="00554CF7" w:rsidRDefault="00915302" w:rsidP="00915302">
            <w:pPr>
              <w:pStyle w:val="ListParagraph"/>
              <w:numPr>
                <w:ilvl w:val="0"/>
                <w:numId w:val="13"/>
              </w:numPr>
              <w:ind w:left="360"/>
              <w:rPr>
                <w:rFonts w:eastAsia="Times New Roman"/>
              </w:rPr>
            </w:pPr>
          </w:p>
        </w:tc>
        <w:tc>
          <w:tcPr>
            <w:tcW w:w="4693" w:type="dxa"/>
          </w:tcPr>
          <w:p w14:paraId="2CDD57D5" w14:textId="77777777" w:rsidR="00915302" w:rsidRPr="00915302" w:rsidRDefault="00915302" w:rsidP="00C578E8">
            <w:pPr>
              <w:rPr>
                <w:rFonts w:asciiTheme="majorHAnsi" w:eastAsia="Times New Roman" w:hAnsiTheme="majorHAnsi" w:cstheme="majorHAnsi"/>
              </w:rPr>
            </w:pPr>
            <w:r w:rsidRPr="00915302">
              <w:rPr>
                <w:rFonts w:asciiTheme="majorHAnsi" w:eastAsia="Times New Roman" w:hAnsiTheme="majorHAnsi" w:cstheme="majorHAnsi"/>
              </w:rPr>
              <w:t xml:space="preserve">What is an eligible type of reference? </w:t>
            </w:r>
            <w:r w:rsidRPr="00915302">
              <w:rPr>
                <w:rFonts w:asciiTheme="majorHAnsi" w:hAnsiTheme="majorHAnsi" w:cstheme="majorHAnsi"/>
              </w:rPr>
              <w:t xml:space="preserve">Can I use the same references that I used for prior bid responses?  </w:t>
            </w:r>
          </w:p>
        </w:tc>
        <w:tc>
          <w:tcPr>
            <w:tcW w:w="5778" w:type="dxa"/>
          </w:tcPr>
          <w:p w14:paraId="427F5DE5" w14:textId="77777777" w:rsidR="00915302" w:rsidRPr="00915302" w:rsidRDefault="00915302" w:rsidP="00C578E8">
            <w:pPr>
              <w:rPr>
                <w:rFonts w:asciiTheme="majorHAnsi" w:hAnsiTheme="majorHAnsi" w:cstheme="majorHAnsi"/>
                <w:i/>
                <w:iCs/>
              </w:rPr>
            </w:pPr>
            <w:r w:rsidRPr="00915302">
              <w:rPr>
                <w:rFonts w:asciiTheme="majorHAnsi" w:hAnsiTheme="majorHAnsi" w:cstheme="majorHAnsi"/>
                <w:i/>
                <w:iCs/>
              </w:rPr>
              <w:t xml:space="preserve">As stated in the RFQ on page 44 (page 17 of the Bid Response Packet), services or goods provided by the Bidder to the reference should have similar scope, </w:t>
            </w:r>
            <w:proofErr w:type="gramStart"/>
            <w:r w:rsidRPr="00915302">
              <w:rPr>
                <w:rFonts w:asciiTheme="majorHAnsi" w:hAnsiTheme="majorHAnsi" w:cstheme="majorHAnsi"/>
                <w:i/>
                <w:iCs/>
              </w:rPr>
              <w:t>volume</w:t>
            </w:r>
            <w:proofErr w:type="gramEnd"/>
            <w:r w:rsidRPr="00915302">
              <w:rPr>
                <w:rFonts w:asciiTheme="majorHAnsi" w:hAnsiTheme="majorHAnsi" w:cstheme="majorHAnsi"/>
                <w:i/>
                <w:iCs/>
              </w:rPr>
              <w:t xml:space="preserve"> and requirements to those outlined in these specification, terms and conditions. You may use references that you submitted with previous proposals.  </w:t>
            </w:r>
          </w:p>
        </w:tc>
      </w:tr>
      <w:tr w:rsidR="00915302" w14:paraId="519F0EBF" w14:textId="77777777" w:rsidTr="00C578E8">
        <w:tc>
          <w:tcPr>
            <w:tcW w:w="432" w:type="dxa"/>
          </w:tcPr>
          <w:p w14:paraId="1D219E3C" w14:textId="77777777" w:rsidR="00915302" w:rsidRPr="004A655C" w:rsidRDefault="00915302" w:rsidP="00915302">
            <w:pPr>
              <w:pStyle w:val="ListParagraph"/>
              <w:numPr>
                <w:ilvl w:val="0"/>
                <w:numId w:val="13"/>
              </w:numPr>
              <w:spacing w:line="252" w:lineRule="auto"/>
              <w:ind w:left="360"/>
              <w:contextualSpacing/>
              <w:rPr>
                <w:rFonts w:eastAsia="Times New Roman"/>
              </w:rPr>
            </w:pPr>
          </w:p>
        </w:tc>
        <w:tc>
          <w:tcPr>
            <w:tcW w:w="4693" w:type="dxa"/>
          </w:tcPr>
          <w:p w14:paraId="2DC02669" w14:textId="77777777" w:rsidR="00915302" w:rsidRPr="00915302" w:rsidRDefault="00915302" w:rsidP="00C578E8">
            <w:pPr>
              <w:rPr>
                <w:rFonts w:asciiTheme="majorHAnsi" w:eastAsia="Times New Roman" w:hAnsiTheme="majorHAnsi" w:cstheme="majorHAnsi"/>
              </w:rPr>
            </w:pPr>
            <w:r w:rsidRPr="00915302">
              <w:rPr>
                <w:rFonts w:asciiTheme="majorHAnsi" w:eastAsia="Times New Roman" w:hAnsiTheme="majorHAnsi" w:cstheme="majorHAnsi"/>
              </w:rPr>
              <w:t xml:space="preserve">Does the County have a list of Homeless Management Information System (HMIS) data entry providers? </w:t>
            </w:r>
          </w:p>
        </w:tc>
        <w:tc>
          <w:tcPr>
            <w:tcW w:w="5778" w:type="dxa"/>
          </w:tcPr>
          <w:p w14:paraId="3F8E4FFA" w14:textId="77777777" w:rsidR="00915302" w:rsidRPr="00915302" w:rsidRDefault="00915302" w:rsidP="00C578E8">
            <w:pPr>
              <w:rPr>
                <w:rFonts w:asciiTheme="majorHAnsi" w:hAnsiTheme="majorHAnsi" w:cstheme="majorHAnsi"/>
                <w:i/>
                <w:iCs/>
              </w:rPr>
            </w:pPr>
            <w:r w:rsidRPr="00915302">
              <w:rPr>
                <w:rFonts w:asciiTheme="majorHAnsi" w:hAnsiTheme="majorHAnsi" w:cstheme="majorHAnsi"/>
                <w:i/>
                <w:iCs/>
              </w:rPr>
              <w:t xml:space="preserve">The County does not have a list of HMIS data entry providers. As stated in the RFQ on pages 10 and 12, a successful Bidder that is not a licensed HMIS agency will be required to collect all data </w:t>
            </w:r>
            <w:r w:rsidRPr="00915302">
              <w:rPr>
                <w:rFonts w:asciiTheme="majorHAnsi" w:hAnsiTheme="majorHAnsi" w:cstheme="majorHAnsi"/>
                <w:i/>
                <w:iCs/>
              </w:rPr>
              <w:lastRenderedPageBreak/>
              <w:t xml:space="preserve">needed for third party data entry in a format approved by AC Health. AC Health will identify data entry providers.  </w:t>
            </w:r>
          </w:p>
        </w:tc>
      </w:tr>
      <w:tr w:rsidR="00915302" w14:paraId="343BCD48" w14:textId="77777777" w:rsidTr="00C578E8">
        <w:tc>
          <w:tcPr>
            <w:tcW w:w="432" w:type="dxa"/>
          </w:tcPr>
          <w:p w14:paraId="5E05A8ED" w14:textId="77777777" w:rsidR="00915302" w:rsidRPr="00437B45" w:rsidRDefault="00915302" w:rsidP="00915302">
            <w:pPr>
              <w:pStyle w:val="ListParagraph"/>
              <w:numPr>
                <w:ilvl w:val="0"/>
                <w:numId w:val="13"/>
              </w:numPr>
              <w:ind w:left="360"/>
              <w:rPr>
                <w:rFonts w:eastAsia="Times New Roman"/>
              </w:rPr>
            </w:pPr>
          </w:p>
        </w:tc>
        <w:tc>
          <w:tcPr>
            <w:tcW w:w="4693" w:type="dxa"/>
          </w:tcPr>
          <w:p w14:paraId="1A2E6963" w14:textId="77777777" w:rsidR="00915302" w:rsidRPr="00915302" w:rsidRDefault="00915302" w:rsidP="00C578E8">
            <w:pPr>
              <w:rPr>
                <w:rFonts w:asciiTheme="majorHAnsi" w:hAnsiTheme="majorHAnsi" w:cstheme="majorHAnsi"/>
              </w:rPr>
            </w:pPr>
            <w:r w:rsidRPr="00915302">
              <w:rPr>
                <w:rFonts w:asciiTheme="majorHAnsi" w:hAnsiTheme="majorHAnsi" w:cstheme="majorHAnsi"/>
              </w:rPr>
              <w:t xml:space="preserve">My facility is licensed as an Intermediate Care Facility /Developmental Disability -Habilitative (ICF/DD-H).  Does my facility qualify for this funding opportunity? </w:t>
            </w:r>
          </w:p>
        </w:tc>
        <w:tc>
          <w:tcPr>
            <w:tcW w:w="5778" w:type="dxa"/>
          </w:tcPr>
          <w:p w14:paraId="018DB3EA" w14:textId="77777777" w:rsidR="00915302" w:rsidRPr="00915302" w:rsidRDefault="00915302" w:rsidP="00C578E8">
            <w:pPr>
              <w:rPr>
                <w:rFonts w:asciiTheme="majorHAnsi" w:hAnsiTheme="majorHAnsi" w:cstheme="majorHAnsi"/>
                <w:i/>
                <w:iCs/>
              </w:rPr>
            </w:pPr>
            <w:r w:rsidRPr="00915302">
              <w:rPr>
                <w:rFonts w:asciiTheme="majorHAnsi" w:hAnsiTheme="majorHAnsi" w:cstheme="majorHAnsi"/>
                <w:i/>
                <w:iCs/>
              </w:rPr>
              <w:t xml:space="preserve">As identified in the RFQ in Section I.C.1. (page 8), only Bidders who have an existing licensed Adult Residential Facility (“ARF”), as defined in Title 22, section 80001(a)(5) of the California Code of Regulations; Residential Care Facility for the Elderly (“RCFE”), as defined in Title 22, section 87101(r)(5) of the California Code of Regulations; or Residential Care Facility for the Chronically Ill (“RCFCI”), as defined in Title 22, section 87801(r)(5) of the California Code of Regulations are eligible for this funding opportunity. </w:t>
            </w:r>
          </w:p>
        </w:tc>
      </w:tr>
      <w:tr w:rsidR="00915302" w14:paraId="5FD551CF" w14:textId="77777777" w:rsidTr="00C578E8">
        <w:tc>
          <w:tcPr>
            <w:tcW w:w="432" w:type="dxa"/>
          </w:tcPr>
          <w:p w14:paraId="753F229D" w14:textId="77777777" w:rsidR="00915302" w:rsidRPr="000A41EF" w:rsidRDefault="00915302" w:rsidP="00915302">
            <w:pPr>
              <w:pStyle w:val="ListParagraph"/>
              <w:numPr>
                <w:ilvl w:val="0"/>
                <w:numId w:val="13"/>
              </w:numPr>
              <w:shd w:val="clear" w:color="auto" w:fill="FFFFFF"/>
              <w:ind w:left="360"/>
              <w:rPr>
                <w:rFonts w:asciiTheme="minorHAnsi" w:hAnsiTheme="minorHAnsi" w:cstheme="minorHAnsi"/>
                <w:color w:val="0D0D0D"/>
              </w:rPr>
            </w:pPr>
            <w:bookmarkStart w:id="0" w:name="_Hlk180740166"/>
          </w:p>
        </w:tc>
        <w:tc>
          <w:tcPr>
            <w:tcW w:w="4693" w:type="dxa"/>
          </w:tcPr>
          <w:p w14:paraId="121FD61D" w14:textId="77777777" w:rsidR="00915302" w:rsidRPr="00915302" w:rsidRDefault="00915302" w:rsidP="00C578E8">
            <w:pPr>
              <w:pStyle w:val="elementtoproof"/>
              <w:shd w:val="clear" w:color="auto" w:fill="FFFFFF"/>
              <w:rPr>
                <w:rFonts w:asciiTheme="majorHAnsi" w:hAnsiTheme="majorHAnsi" w:cstheme="majorHAnsi"/>
                <w:color w:val="0D0D0D"/>
              </w:rPr>
            </w:pPr>
            <w:r w:rsidRPr="00915302">
              <w:rPr>
                <w:rFonts w:asciiTheme="majorHAnsi" w:hAnsiTheme="majorHAnsi" w:cstheme="majorHAnsi"/>
                <w:color w:val="0D0D0D"/>
              </w:rPr>
              <w:t xml:space="preserve">Please explain each category of requested services in layperson’s terms. </w:t>
            </w:r>
          </w:p>
        </w:tc>
        <w:tc>
          <w:tcPr>
            <w:tcW w:w="5778" w:type="dxa"/>
          </w:tcPr>
          <w:p w14:paraId="6A65D626" w14:textId="77777777" w:rsidR="00915302" w:rsidRPr="00915302" w:rsidRDefault="00915302" w:rsidP="00C578E8">
            <w:pPr>
              <w:pStyle w:val="elementtoproof"/>
              <w:shd w:val="clear" w:color="auto" w:fill="FFFFFF" w:themeFill="background1"/>
              <w:rPr>
                <w:rFonts w:asciiTheme="majorHAnsi" w:hAnsiTheme="majorHAnsi" w:cstheme="majorHAnsi"/>
                <w:i/>
                <w:iCs/>
              </w:rPr>
            </w:pPr>
            <w:r w:rsidRPr="00915302">
              <w:rPr>
                <w:rFonts w:asciiTheme="majorHAnsi" w:hAnsiTheme="majorHAnsi" w:cstheme="majorHAnsi"/>
                <w:i/>
                <w:iCs/>
              </w:rPr>
              <w:t xml:space="preserve">The Community Care Expansion Preservation Operating Subsidy Payment program goal is to improve residents’ quality of life and help prevent closure of the facility by funding operations costs (pg. 5-6 of the RFQ) and a one-time subsidy to cover rising insurance costs (pg. 6-7 of the RFQ). The Behavioral Health Bridge Housing Auxiliary Payments program is designed to provide the highest level of support for a limited duration with a focus on transitioning individuals to a lower level of care as they stabilize, gain greater independence, or other suitable housing is secured.  This program is to help people experiencing homelessness who have serious behavioral health conditions that prevent them from accessing help and moving out of homelessness (pg. 7 of the RFQ).   </w:t>
            </w:r>
          </w:p>
        </w:tc>
      </w:tr>
      <w:bookmarkEnd w:id="0"/>
      <w:tr w:rsidR="00915302" w14:paraId="288FB156" w14:textId="77777777" w:rsidTr="00C578E8">
        <w:tc>
          <w:tcPr>
            <w:tcW w:w="432" w:type="dxa"/>
          </w:tcPr>
          <w:p w14:paraId="15B06285" w14:textId="77777777" w:rsidR="00915302" w:rsidRPr="1A0FD2F7" w:rsidRDefault="00915302" w:rsidP="00915302">
            <w:pPr>
              <w:pStyle w:val="elementtoproof"/>
              <w:numPr>
                <w:ilvl w:val="0"/>
                <w:numId w:val="13"/>
              </w:numPr>
              <w:shd w:val="clear" w:color="auto" w:fill="FFFFFF" w:themeFill="background1"/>
              <w:ind w:left="360"/>
              <w:rPr>
                <w:rFonts w:asciiTheme="minorHAnsi" w:eastAsia="Times New Roman" w:hAnsiTheme="minorHAnsi" w:cstheme="minorBidi"/>
                <w:color w:val="0D0D0D" w:themeColor="text1" w:themeTint="F2"/>
              </w:rPr>
            </w:pPr>
          </w:p>
        </w:tc>
        <w:tc>
          <w:tcPr>
            <w:tcW w:w="4693" w:type="dxa"/>
          </w:tcPr>
          <w:p w14:paraId="2AC04682" w14:textId="77777777" w:rsidR="00915302" w:rsidRPr="00915302" w:rsidRDefault="00915302" w:rsidP="00C578E8">
            <w:pPr>
              <w:pStyle w:val="elementtoproof"/>
              <w:shd w:val="clear" w:color="auto" w:fill="FFFFFF" w:themeFill="background1"/>
              <w:rPr>
                <w:rFonts w:asciiTheme="majorHAnsi" w:eastAsia="Times New Roman" w:hAnsiTheme="majorHAnsi" w:cstheme="majorHAnsi"/>
                <w:color w:val="0D0D0D"/>
              </w:rPr>
            </w:pPr>
            <w:r w:rsidRPr="00915302">
              <w:rPr>
                <w:rFonts w:asciiTheme="majorHAnsi" w:eastAsia="Times New Roman" w:hAnsiTheme="majorHAnsi" w:cstheme="majorHAnsi"/>
                <w:color w:val="0D0D0D"/>
              </w:rPr>
              <w:t xml:space="preserve">Where do I locate the Category 1 Excel Workbook and how do I use it? </w:t>
            </w:r>
          </w:p>
        </w:tc>
        <w:tc>
          <w:tcPr>
            <w:tcW w:w="5778" w:type="dxa"/>
          </w:tcPr>
          <w:p w14:paraId="2D5DB9ED" w14:textId="77777777" w:rsidR="00915302" w:rsidRPr="00915302" w:rsidRDefault="00915302" w:rsidP="00C578E8">
            <w:pPr>
              <w:pStyle w:val="elementtoproof"/>
              <w:shd w:val="clear" w:color="auto" w:fill="FFFFFF" w:themeFill="background1"/>
              <w:rPr>
                <w:rFonts w:asciiTheme="majorHAnsi" w:hAnsiTheme="majorHAnsi" w:cstheme="majorHAnsi"/>
                <w:i/>
                <w:iCs/>
              </w:rPr>
            </w:pPr>
            <w:r w:rsidRPr="00915302">
              <w:rPr>
                <w:rFonts w:asciiTheme="majorHAnsi" w:hAnsiTheme="majorHAnsi" w:cstheme="majorHAnsi"/>
                <w:i/>
                <w:iCs/>
              </w:rPr>
              <w:t xml:space="preserve">The Category 1 Excel Workbook can be located on the Alameda County General Services Agency Contracting Opportunities website at </w:t>
            </w:r>
            <w:hyperlink r:id="rId9" w:history="1">
              <w:r w:rsidRPr="00915302">
                <w:rPr>
                  <w:rStyle w:val="Hyperlink"/>
                  <w:rFonts w:asciiTheme="majorHAnsi" w:hAnsiTheme="majorHAnsi" w:cstheme="majorHAnsi"/>
                  <w:i/>
                  <w:iCs/>
                </w:rPr>
                <w:t>https://gsa.acgov.org/do-business-with-us/contracting-opportunities/current-bid/?bidid=2978</w:t>
              </w:r>
            </w:hyperlink>
            <w:r w:rsidRPr="00915302">
              <w:rPr>
                <w:rFonts w:asciiTheme="majorHAnsi" w:hAnsiTheme="majorHAnsi" w:cstheme="majorHAnsi"/>
                <w:i/>
                <w:iCs/>
              </w:rPr>
              <w:t xml:space="preserve">. Scroll down to the bottom and click on the link titled “2978_RFQ#ACH-900325_BudgetForm.xlsx” (or click </w:t>
            </w:r>
            <w:hyperlink r:id="rId10" w:history="1">
              <w:r w:rsidRPr="00915302">
                <w:rPr>
                  <w:rStyle w:val="Hyperlink"/>
                  <w:rFonts w:asciiTheme="majorHAnsi" w:hAnsiTheme="majorHAnsi" w:cstheme="majorHAnsi"/>
                  <w:i/>
                  <w:iCs/>
                </w:rPr>
                <w:t>HERE</w:t>
              </w:r>
            </w:hyperlink>
            <w:r w:rsidRPr="00915302">
              <w:rPr>
                <w:rFonts w:asciiTheme="majorHAnsi" w:hAnsiTheme="majorHAnsi" w:cstheme="majorHAnsi"/>
                <w:i/>
                <w:iCs/>
              </w:rPr>
              <w:t xml:space="preserve">). Open the Excel Workbook once it is downloaded. You will see three tabs at the bottom as shown below circled in </w:t>
            </w:r>
            <w:proofErr w:type="gramStart"/>
            <w:r w:rsidRPr="00915302">
              <w:rPr>
                <w:rFonts w:asciiTheme="majorHAnsi" w:hAnsiTheme="majorHAnsi" w:cstheme="majorHAnsi"/>
                <w:i/>
                <w:iCs/>
              </w:rPr>
              <w:t>red</w:t>
            </w:r>
            <w:proofErr w:type="gramEnd"/>
            <w:r w:rsidRPr="00915302">
              <w:rPr>
                <w:rFonts w:asciiTheme="majorHAnsi" w:hAnsiTheme="majorHAnsi" w:cstheme="majorHAnsi"/>
                <w:i/>
                <w:iCs/>
              </w:rPr>
              <w:t xml:space="preserve"> </w:t>
            </w:r>
          </w:p>
          <w:p w14:paraId="7FB2849F" w14:textId="77777777" w:rsidR="00915302" w:rsidRPr="00915302" w:rsidRDefault="00915302" w:rsidP="00C578E8">
            <w:pPr>
              <w:pStyle w:val="elementtoproof"/>
              <w:shd w:val="clear" w:color="auto" w:fill="FFFFFF" w:themeFill="background1"/>
              <w:rPr>
                <w:rFonts w:asciiTheme="majorHAnsi" w:hAnsiTheme="majorHAnsi" w:cstheme="majorHAnsi"/>
                <w:i/>
                <w:iCs/>
              </w:rPr>
            </w:pPr>
            <w:r w:rsidRPr="00915302">
              <w:rPr>
                <w:rFonts w:asciiTheme="majorHAnsi" w:hAnsiTheme="majorHAnsi" w:cstheme="majorHAnsi"/>
                <w:i/>
                <w:iCs/>
                <w:noProof/>
              </w:rPr>
              <w:drawing>
                <wp:inline distT="0" distB="0" distL="0" distR="0" wp14:anchorId="576BADF9" wp14:editId="58FE0E02">
                  <wp:extent cx="3124200" cy="1656983"/>
                  <wp:effectExtent l="0" t="0" r="0" b="635"/>
                  <wp:docPr id="4" name="Picture 3" descr="Table&#10;&#10;Description automatically generated with low confidence">
                    <a:extLst xmlns:a="http://schemas.openxmlformats.org/drawingml/2006/main">
                      <a:ext uri="{FF2B5EF4-FFF2-40B4-BE49-F238E27FC236}">
                        <a16:creationId xmlns:a16="http://schemas.microsoft.com/office/drawing/2014/main" id="{112D0559-CD37-47DB-88EA-687B566716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10;&#10;Description automatically generated with low confidence">
                            <a:extLst>
                              <a:ext uri="{FF2B5EF4-FFF2-40B4-BE49-F238E27FC236}">
                                <a16:creationId xmlns:a16="http://schemas.microsoft.com/office/drawing/2014/main" id="{112D0559-CD37-47DB-88EA-687B566716F5}"/>
                              </a:ext>
                            </a:extLst>
                          </pic:cNvPr>
                          <pic:cNvPicPr>
                            <a:picLocks noChangeAspect="1"/>
                          </pic:cNvPicPr>
                        </pic:nvPicPr>
                        <pic:blipFill>
                          <a:blip r:embed="rId11"/>
                          <a:stretch>
                            <a:fillRect/>
                          </a:stretch>
                        </pic:blipFill>
                        <pic:spPr>
                          <a:xfrm>
                            <a:off x="0" y="0"/>
                            <a:ext cx="3139829" cy="1665272"/>
                          </a:xfrm>
                          <a:prstGeom prst="rect">
                            <a:avLst/>
                          </a:prstGeom>
                        </pic:spPr>
                      </pic:pic>
                    </a:graphicData>
                  </a:graphic>
                </wp:inline>
              </w:drawing>
            </w:r>
          </w:p>
          <w:p w14:paraId="7E96CB8F" w14:textId="77777777" w:rsidR="00915302" w:rsidRPr="00915302" w:rsidRDefault="00915302" w:rsidP="00C578E8">
            <w:pPr>
              <w:pStyle w:val="elementtoproof"/>
              <w:shd w:val="clear" w:color="auto" w:fill="FFFFFF" w:themeFill="background1"/>
              <w:rPr>
                <w:rFonts w:asciiTheme="majorHAnsi" w:hAnsiTheme="majorHAnsi" w:cstheme="majorHAnsi"/>
                <w:i/>
                <w:iCs/>
              </w:rPr>
            </w:pPr>
            <w:r w:rsidRPr="00915302">
              <w:rPr>
                <w:rFonts w:asciiTheme="majorHAnsi" w:hAnsiTheme="majorHAnsi" w:cstheme="majorHAnsi"/>
                <w:i/>
                <w:iCs/>
              </w:rPr>
              <w:t xml:space="preserve">Then click on the second tab “Assumptions” and enter the information requested ONLY IN THE </w:t>
            </w:r>
            <w:r w:rsidRPr="003D5735">
              <w:rPr>
                <w:rFonts w:asciiTheme="majorHAnsi" w:hAnsiTheme="majorHAnsi" w:cstheme="majorHAnsi"/>
                <w:i/>
                <w:iCs/>
                <w:shd w:val="clear" w:color="auto" w:fill="FFE285"/>
              </w:rPr>
              <w:t xml:space="preserve">YELLOW </w:t>
            </w:r>
            <w:r w:rsidRPr="00915302">
              <w:rPr>
                <w:rFonts w:asciiTheme="majorHAnsi" w:hAnsiTheme="majorHAnsi" w:cstheme="majorHAnsi"/>
                <w:i/>
                <w:iCs/>
              </w:rPr>
              <w:t xml:space="preserve">SHADED CELLS. </w:t>
            </w:r>
          </w:p>
          <w:p w14:paraId="7A0C1A44" w14:textId="77777777" w:rsidR="00915302" w:rsidRPr="00915302" w:rsidRDefault="00915302" w:rsidP="00C578E8">
            <w:pPr>
              <w:pStyle w:val="elementtoproof"/>
              <w:shd w:val="clear" w:color="auto" w:fill="FFFFFF" w:themeFill="background1"/>
              <w:rPr>
                <w:rFonts w:asciiTheme="majorHAnsi" w:hAnsiTheme="majorHAnsi" w:cstheme="majorHAnsi"/>
                <w:i/>
                <w:iCs/>
              </w:rPr>
            </w:pPr>
            <w:r w:rsidRPr="00915302">
              <w:rPr>
                <w:rFonts w:asciiTheme="majorHAnsi" w:hAnsiTheme="majorHAnsi" w:cstheme="majorHAnsi"/>
                <w:i/>
                <w:iCs/>
                <w:noProof/>
              </w:rPr>
              <w:lastRenderedPageBreak/>
              <w:drawing>
                <wp:inline distT="0" distB="0" distL="0" distR="0" wp14:anchorId="256C59CA" wp14:editId="48BD65E9">
                  <wp:extent cx="3724275" cy="3147899"/>
                  <wp:effectExtent l="0" t="0" r="0" b="0"/>
                  <wp:docPr id="1655563152"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63152" name="Picture 1" descr="Graphical user interface, application, table&#10;&#10;Description automatically generated"/>
                          <pic:cNvPicPr/>
                        </pic:nvPicPr>
                        <pic:blipFill>
                          <a:blip r:embed="rId12"/>
                          <a:stretch>
                            <a:fillRect/>
                          </a:stretch>
                        </pic:blipFill>
                        <pic:spPr>
                          <a:xfrm>
                            <a:off x="0" y="0"/>
                            <a:ext cx="3732521" cy="3154868"/>
                          </a:xfrm>
                          <a:prstGeom prst="rect">
                            <a:avLst/>
                          </a:prstGeom>
                        </pic:spPr>
                      </pic:pic>
                    </a:graphicData>
                  </a:graphic>
                </wp:inline>
              </w:drawing>
            </w:r>
          </w:p>
          <w:p w14:paraId="3D58A381" w14:textId="77777777" w:rsidR="00915302" w:rsidRPr="00915302" w:rsidRDefault="00915302" w:rsidP="00C578E8">
            <w:pPr>
              <w:pStyle w:val="elementtoproof"/>
              <w:shd w:val="clear" w:color="auto" w:fill="FFFFFF" w:themeFill="background1"/>
              <w:rPr>
                <w:rFonts w:asciiTheme="majorHAnsi" w:hAnsiTheme="majorHAnsi" w:cstheme="majorHAnsi"/>
                <w:i/>
                <w:iCs/>
              </w:rPr>
            </w:pPr>
          </w:p>
          <w:p w14:paraId="0C856EFF" w14:textId="77777777" w:rsidR="00915302" w:rsidRPr="00915302" w:rsidRDefault="00915302" w:rsidP="00C578E8">
            <w:pPr>
              <w:pStyle w:val="elementtoproof"/>
              <w:shd w:val="clear" w:color="auto" w:fill="FFFFFF" w:themeFill="background1"/>
              <w:rPr>
                <w:rFonts w:asciiTheme="majorHAnsi" w:hAnsiTheme="majorHAnsi" w:cstheme="majorHAnsi"/>
                <w:b/>
                <w:bCs/>
                <w:i/>
                <w:iCs/>
              </w:rPr>
            </w:pPr>
            <w:r w:rsidRPr="00915302">
              <w:rPr>
                <w:rFonts w:asciiTheme="majorHAnsi" w:hAnsiTheme="majorHAnsi" w:cstheme="majorHAnsi"/>
                <w:b/>
                <w:bCs/>
                <w:i/>
                <w:iCs/>
              </w:rPr>
              <w:t xml:space="preserve">DO NOT ENTER INFORMATION IN TAB 3 “Budget and 5-Year).  </w:t>
            </w:r>
          </w:p>
          <w:p w14:paraId="75FFEC06" w14:textId="77777777" w:rsidR="00915302" w:rsidRPr="00915302" w:rsidRDefault="00915302" w:rsidP="00C578E8">
            <w:pPr>
              <w:pStyle w:val="elementtoproof"/>
              <w:shd w:val="clear" w:color="auto" w:fill="FFFFFF" w:themeFill="background1"/>
              <w:rPr>
                <w:rFonts w:asciiTheme="majorHAnsi" w:hAnsiTheme="majorHAnsi" w:cstheme="majorHAnsi"/>
                <w:i/>
                <w:iCs/>
              </w:rPr>
            </w:pPr>
          </w:p>
          <w:p w14:paraId="760E95A4" w14:textId="77777777" w:rsidR="00915302" w:rsidRPr="00915302" w:rsidRDefault="00915302" w:rsidP="00C578E8">
            <w:pPr>
              <w:pStyle w:val="elementtoproof"/>
              <w:shd w:val="clear" w:color="auto" w:fill="FFFFFF" w:themeFill="background1"/>
              <w:rPr>
                <w:rFonts w:asciiTheme="majorHAnsi" w:hAnsiTheme="majorHAnsi" w:cstheme="majorHAnsi"/>
              </w:rPr>
            </w:pPr>
            <w:r w:rsidRPr="00915302">
              <w:rPr>
                <w:rFonts w:asciiTheme="majorHAnsi" w:hAnsiTheme="majorHAnsi" w:cstheme="majorHAnsi"/>
                <w:i/>
                <w:iCs/>
              </w:rPr>
              <w:t xml:space="preserve">Please refer to the first tab (labeled “Instructions”) for guidance regarding definitions and what information should be entered into the “Assumptions” </w:t>
            </w:r>
            <w:r w:rsidRPr="003D5735">
              <w:rPr>
                <w:rFonts w:asciiTheme="majorHAnsi" w:hAnsiTheme="majorHAnsi" w:cstheme="majorHAnsi"/>
                <w:i/>
                <w:iCs/>
                <w:shd w:val="clear" w:color="auto" w:fill="FFE285"/>
              </w:rPr>
              <w:t>yellow</w:t>
            </w:r>
            <w:r w:rsidRPr="00915302">
              <w:rPr>
                <w:rFonts w:asciiTheme="majorHAnsi" w:hAnsiTheme="majorHAnsi" w:cstheme="majorHAnsi"/>
                <w:i/>
                <w:iCs/>
              </w:rPr>
              <w:t xml:space="preserve"> shaded cells. </w:t>
            </w:r>
          </w:p>
        </w:tc>
      </w:tr>
      <w:tr w:rsidR="00915302" w14:paraId="1EC8FB36" w14:textId="77777777" w:rsidTr="00C578E8">
        <w:tc>
          <w:tcPr>
            <w:tcW w:w="432" w:type="dxa"/>
          </w:tcPr>
          <w:p w14:paraId="2B92F45B" w14:textId="77777777" w:rsidR="00915302" w:rsidRPr="1A0FD2F7" w:rsidRDefault="00915302" w:rsidP="00915302">
            <w:pPr>
              <w:pStyle w:val="elementtoproof"/>
              <w:numPr>
                <w:ilvl w:val="0"/>
                <w:numId w:val="13"/>
              </w:numPr>
              <w:shd w:val="clear" w:color="auto" w:fill="FFFFFF" w:themeFill="background1"/>
              <w:ind w:left="360"/>
              <w:rPr>
                <w:rFonts w:asciiTheme="minorHAnsi" w:eastAsia="Times New Roman" w:hAnsiTheme="minorHAnsi" w:cstheme="minorBidi"/>
                <w:color w:val="0D0D0D" w:themeColor="text1" w:themeTint="F2"/>
              </w:rPr>
            </w:pPr>
          </w:p>
        </w:tc>
        <w:tc>
          <w:tcPr>
            <w:tcW w:w="4693" w:type="dxa"/>
          </w:tcPr>
          <w:p w14:paraId="3FB4FECE" w14:textId="77777777" w:rsidR="00915302" w:rsidRPr="00915302" w:rsidRDefault="00915302" w:rsidP="00C578E8">
            <w:pPr>
              <w:pStyle w:val="elementtoproof"/>
              <w:shd w:val="clear" w:color="auto" w:fill="FFFFFF" w:themeFill="background1"/>
              <w:rPr>
                <w:rFonts w:asciiTheme="majorHAnsi" w:hAnsiTheme="majorHAnsi" w:cstheme="majorHAnsi"/>
              </w:rPr>
            </w:pPr>
            <w:r w:rsidRPr="00915302">
              <w:rPr>
                <w:rFonts w:asciiTheme="majorHAnsi" w:hAnsiTheme="majorHAnsi" w:cstheme="majorHAnsi"/>
              </w:rPr>
              <w:t xml:space="preserve">Where do I locate the Exceptions and Clarifications form? </w:t>
            </w:r>
          </w:p>
        </w:tc>
        <w:tc>
          <w:tcPr>
            <w:tcW w:w="5778" w:type="dxa"/>
            <w:shd w:val="clear" w:color="auto" w:fill="auto"/>
          </w:tcPr>
          <w:p w14:paraId="1DA00412" w14:textId="77777777" w:rsidR="00915302" w:rsidRPr="00915302" w:rsidRDefault="00915302" w:rsidP="00C578E8">
            <w:pPr>
              <w:rPr>
                <w:rFonts w:asciiTheme="majorHAnsi" w:hAnsiTheme="majorHAnsi" w:cstheme="majorHAnsi"/>
                <w:i/>
                <w:iCs/>
              </w:rPr>
            </w:pPr>
            <w:r w:rsidRPr="00915302">
              <w:rPr>
                <w:rFonts w:asciiTheme="majorHAnsi" w:hAnsiTheme="majorHAnsi" w:cstheme="majorHAnsi"/>
                <w:i/>
                <w:iCs/>
              </w:rPr>
              <w:t xml:space="preserve">The Exceptions and Clarifications form can be found in the Bid Response Packet on page 19 (page 46 of the RFQ).  </w:t>
            </w:r>
          </w:p>
        </w:tc>
      </w:tr>
      <w:tr w:rsidR="00915302" w14:paraId="2CDA986E" w14:textId="77777777" w:rsidTr="00C578E8">
        <w:tc>
          <w:tcPr>
            <w:tcW w:w="432" w:type="dxa"/>
          </w:tcPr>
          <w:p w14:paraId="1F5A03D6" w14:textId="77777777" w:rsidR="00915302" w:rsidRPr="004A655C" w:rsidRDefault="00915302" w:rsidP="00915302">
            <w:pPr>
              <w:pStyle w:val="elementtoproof"/>
              <w:numPr>
                <w:ilvl w:val="0"/>
                <w:numId w:val="13"/>
              </w:numPr>
              <w:shd w:val="clear" w:color="auto" w:fill="FFFFFF" w:themeFill="background1"/>
              <w:ind w:left="360"/>
              <w:rPr>
                <w:rFonts w:eastAsia="Times New Roman"/>
              </w:rPr>
            </w:pPr>
          </w:p>
        </w:tc>
        <w:tc>
          <w:tcPr>
            <w:tcW w:w="4693" w:type="dxa"/>
          </w:tcPr>
          <w:p w14:paraId="5B51EB94" w14:textId="77777777" w:rsidR="00915302" w:rsidRPr="00915302" w:rsidRDefault="00915302" w:rsidP="00C578E8">
            <w:pPr>
              <w:pStyle w:val="elementtoproof"/>
              <w:shd w:val="clear" w:color="auto" w:fill="FFFFFF" w:themeFill="background1"/>
              <w:rPr>
                <w:rFonts w:asciiTheme="majorHAnsi" w:hAnsiTheme="majorHAnsi" w:cstheme="majorHAnsi"/>
              </w:rPr>
            </w:pPr>
            <w:r w:rsidRPr="00915302">
              <w:rPr>
                <w:rFonts w:asciiTheme="majorHAnsi" w:hAnsiTheme="majorHAnsi" w:cstheme="majorHAnsi"/>
              </w:rPr>
              <w:t>Do I enter Housing Subsidy Program (HSP) payments in the Category 1 Excel Workbook under Monthly Operating Subsidy/Other Revenue?</w:t>
            </w:r>
          </w:p>
        </w:tc>
        <w:tc>
          <w:tcPr>
            <w:tcW w:w="5778" w:type="dxa"/>
          </w:tcPr>
          <w:p w14:paraId="70C76780" w14:textId="77777777" w:rsidR="00915302" w:rsidRPr="00915302" w:rsidRDefault="00915302" w:rsidP="00C578E8">
            <w:pPr>
              <w:rPr>
                <w:rFonts w:asciiTheme="majorHAnsi" w:hAnsiTheme="majorHAnsi" w:cstheme="majorHAnsi"/>
                <w:i/>
                <w:iCs/>
              </w:rPr>
            </w:pPr>
            <w:r w:rsidRPr="00915302">
              <w:rPr>
                <w:rFonts w:asciiTheme="majorHAnsi" w:hAnsiTheme="majorHAnsi" w:cstheme="majorHAnsi"/>
                <w:i/>
                <w:iCs/>
              </w:rPr>
              <w:t xml:space="preserve">Yes, for the Category 1 Excel Workbook, you should add HSP payments received in the Assumptions tab in the </w:t>
            </w:r>
            <w:r w:rsidRPr="003D5735">
              <w:rPr>
                <w:rFonts w:asciiTheme="majorHAnsi" w:hAnsiTheme="majorHAnsi" w:cstheme="majorHAnsi"/>
                <w:i/>
                <w:iCs/>
                <w:kern w:val="0"/>
                <w:shd w:val="clear" w:color="auto" w:fill="FFE285"/>
                <w14:ligatures w14:val="none"/>
              </w:rPr>
              <w:t xml:space="preserve">yellow </w:t>
            </w:r>
            <w:r w:rsidRPr="00915302">
              <w:rPr>
                <w:rFonts w:asciiTheme="majorHAnsi" w:hAnsiTheme="majorHAnsi" w:cstheme="majorHAnsi"/>
                <w:i/>
                <w:iCs/>
              </w:rPr>
              <w:t xml:space="preserve">shaded cell for the Monthly Operating Subsidy/Other Revenue line item. </w:t>
            </w:r>
          </w:p>
        </w:tc>
      </w:tr>
      <w:tr w:rsidR="00915302" w14:paraId="390D89C9" w14:textId="77777777" w:rsidTr="00C578E8">
        <w:tc>
          <w:tcPr>
            <w:tcW w:w="432" w:type="dxa"/>
          </w:tcPr>
          <w:p w14:paraId="59168269" w14:textId="77777777" w:rsidR="00915302" w:rsidRPr="004A655C" w:rsidRDefault="00915302" w:rsidP="00915302">
            <w:pPr>
              <w:pStyle w:val="ListParagraph"/>
              <w:numPr>
                <w:ilvl w:val="0"/>
                <w:numId w:val="13"/>
              </w:numPr>
              <w:spacing w:line="252" w:lineRule="auto"/>
              <w:ind w:left="360"/>
              <w:contextualSpacing/>
              <w:rPr>
                <w:rFonts w:eastAsia="Times New Roman"/>
              </w:rPr>
            </w:pPr>
          </w:p>
        </w:tc>
        <w:tc>
          <w:tcPr>
            <w:tcW w:w="4693" w:type="dxa"/>
          </w:tcPr>
          <w:p w14:paraId="4F95D6CD" w14:textId="77777777" w:rsidR="00915302" w:rsidRPr="00915302" w:rsidRDefault="00915302" w:rsidP="00C578E8">
            <w:pPr>
              <w:pStyle w:val="elementtoproof"/>
              <w:shd w:val="clear" w:color="auto" w:fill="FFFFFF" w:themeFill="background1"/>
              <w:rPr>
                <w:rFonts w:asciiTheme="majorHAnsi" w:hAnsiTheme="majorHAnsi" w:cstheme="majorHAnsi"/>
              </w:rPr>
            </w:pPr>
            <w:r w:rsidRPr="00915302">
              <w:rPr>
                <w:rFonts w:asciiTheme="majorHAnsi" w:hAnsiTheme="majorHAnsi" w:cstheme="majorHAnsi"/>
              </w:rPr>
              <w:t xml:space="preserve">If I do not have any debt service, should I enter N/A in the Monthly Debt Service field and following fields? </w:t>
            </w:r>
          </w:p>
        </w:tc>
        <w:tc>
          <w:tcPr>
            <w:tcW w:w="5778" w:type="dxa"/>
          </w:tcPr>
          <w:p w14:paraId="425E5C73" w14:textId="77777777" w:rsidR="00915302" w:rsidRPr="00915302" w:rsidRDefault="00915302" w:rsidP="00C578E8">
            <w:pPr>
              <w:rPr>
                <w:rFonts w:asciiTheme="majorHAnsi" w:hAnsiTheme="majorHAnsi" w:cstheme="majorHAnsi"/>
                <w:i/>
                <w:iCs/>
              </w:rPr>
            </w:pPr>
            <w:r w:rsidRPr="00915302">
              <w:rPr>
                <w:rFonts w:asciiTheme="majorHAnsi" w:hAnsiTheme="majorHAnsi" w:cstheme="majorHAnsi"/>
                <w:i/>
                <w:iCs/>
              </w:rPr>
              <w:t xml:space="preserve">If you have $0 monthly debt service expenses, you should enter $0 in the Monthly Debt Service field. On row 43, please enter the source(s) of the information you </w:t>
            </w:r>
            <w:proofErr w:type="gramStart"/>
            <w:r w:rsidRPr="00915302">
              <w:rPr>
                <w:rFonts w:asciiTheme="majorHAnsi" w:hAnsiTheme="majorHAnsi" w:cstheme="majorHAnsi"/>
                <w:i/>
                <w:iCs/>
              </w:rPr>
              <w:t>entered into</w:t>
            </w:r>
            <w:proofErr w:type="gramEnd"/>
            <w:r w:rsidRPr="00915302">
              <w:rPr>
                <w:rFonts w:asciiTheme="majorHAnsi" w:hAnsiTheme="majorHAnsi" w:cstheme="majorHAnsi"/>
                <w:i/>
                <w:iCs/>
              </w:rPr>
              <w:t xml:space="preserve"> the Excel Workbook. On row 44, please enter either the word Estimate or Actual depending on which method you use.  On row 45, please enter the word Yes or No, depending on whether you include financial statements with your proposal.  If you enter Yes, please be sure to include your financial statements along with your bid proposal. </w:t>
            </w:r>
          </w:p>
        </w:tc>
      </w:tr>
    </w:tbl>
    <w:p w14:paraId="764CCA18" w14:textId="77777777" w:rsidR="00EA6796" w:rsidRDefault="00EA6796" w:rsidP="0A6112B1">
      <w:pPr>
        <w:pStyle w:val="NormalWeb"/>
        <w:shd w:val="clear" w:color="auto" w:fill="FFFFFF" w:themeFill="background1"/>
        <w:rPr>
          <w:rFonts w:eastAsia="Calibri"/>
          <w:b/>
          <w:bCs/>
          <w:sz w:val="26"/>
          <w:szCs w:val="26"/>
        </w:rPr>
      </w:pPr>
    </w:p>
    <w:sectPr w:rsidR="00EA6796" w:rsidSect="00D81EC7">
      <w:headerReference w:type="even" r:id="rId13"/>
      <w:headerReference w:type="default" r:id="rId14"/>
      <w:footerReference w:type="even" r:id="rId15"/>
      <w:footerReference w:type="default" r:id="rId16"/>
      <w:headerReference w:type="first" r:id="rId17"/>
      <w:footerReference w:type="first" r:id="rId18"/>
      <w:pgSz w:w="12240" w:h="15840"/>
      <w:pgMar w:top="864" w:right="720" w:bottom="864" w:left="720" w:header="720" w:footer="25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69EF" w14:textId="77777777" w:rsidR="00CC5706" w:rsidRDefault="00CC5706">
      <w:r>
        <w:separator/>
      </w:r>
    </w:p>
  </w:endnote>
  <w:endnote w:type="continuationSeparator" w:id="0">
    <w:p w14:paraId="43A38080" w14:textId="77777777" w:rsidR="00CC5706" w:rsidRDefault="00CC5706">
      <w:r>
        <w:continuationSeparator/>
      </w:r>
    </w:p>
  </w:endnote>
  <w:endnote w:type="continuationNotice" w:id="1">
    <w:p w14:paraId="061D16AE" w14:textId="77777777" w:rsidR="00CC5706" w:rsidRDefault="00CC5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AB95" w14:textId="77777777" w:rsidR="00947F79" w:rsidRDefault="0094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E74F" w14:textId="77777777" w:rsidR="0038192D" w:rsidRPr="0038192D" w:rsidRDefault="0038192D" w:rsidP="0038192D">
    <w:pPr>
      <w:pStyle w:val="Title"/>
      <w:jc w:val="right"/>
      <w:rPr>
        <w:rFonts w:ascii="Calibri" w:eastAsia="Calibri" w:hAnsi="Calibri" w:cs="Calibri"/>
        <w:b w:val="0"/>
        <w:bCs/>
        <w:sz w:val="18"/>
        <w:szCs w:val="18"/>
      </w:rPr>
    </w:pPr>
    <w:r w:rsidRPr="0038192D">
      <w:rPr>
        <w:rFonts w:ascii="Calibri" w:eastAsia="Calibri" w:hAnsi="Calibri" w:cs="Calibri"/>
        <w:b w:val="0"/>
        <w:bCs/>
        <w:sz w:val="18"/>
        <w:szCs w:val="18"/>
      </w:rPr>
      <w:t>QUESTIONS &amp; ANSWERS</w:t>
    </w:r>
  </w:p>
  <w:p w14:paraId="3EA9A162" w14:textId="039B566B" w:rsidR="0038192D" w:rsidRPr="0038192D" w:rsidRDefault="0038192D" w:rsidP="0038192D">
    <w:pPr>
      <w:keepNext/>
      <w:jc w:val="right"/>
      <w:rPr>
        <w:rFonts w:ascii="Calibri" w:eastAsia="Calibri" w:hAnsi="Calibri" w:cs="Calibri"/>
        <w:bCs/>
        <w:sz w:val="18"/>
        <w:szCs w:val="18"/>
      </w:rPr>
    </w:pPr>
    <w:r w:rsidRPr="0038192D">
      <w:rPr>
        <w:rFonts w:ascii="Calibri" w:eastAsia="Calibri" w:hAnsi="Calibri" w:cs="Calibri"/>
        <w:bCs/>
        <w:sz w:val="18"/>
        <w:szCs w:val="18"/>
      </w:rPr>
      <w:t>RF</w:t>
    </w:r>
    <w:r w:rsidR="00947F79">
      <w:rPr>
        <w:rFonts w:ascii="Calibri" w:eastAsia="Calibri" w:hAnsi="Calibri" w:cs="Calibri"/>
        <w:bCs/>
        <w:sz w:val="18"/>
        <w:szCs w:val="18"/>
      </w:rPr>
      <w:t>Q</w:t>
    </w:r>
    <w:r w:rsidRPr="0038192D">
      <w:rPr>
        <w:rFonts w:ascii="Calibri" w:eastAsia="Calibri" w:hAnsi="Calibri" w:cs="Calibri"/>
        <w:bCs/>
        <w:sz w:val="18"/>
        <w:szCs w:val="18"/>
      </w:rPr>
      <w:t xml:space="preserve"> No. </w:t>
    </w:r>
    <w:r w:rsidR="003D5735">
      <w:rPr>
        <w:rFonts w:ascii="Calibri" w:eastAsia="Calibri" w:hAnsi="Calibri" w:cs="Calibri"/>
        <w:bCs/>
        <w:sz w:val="18"/>
        <w:szCs w:val="18"/>
      </w:rPr>
      <w:t>ACH</w:t>
    </w:r>
    <w:r w:rsidRPr="0038192D">
      <w:rPr>
        <w:rFonts w:ascii="Calibri" w:eastAsia="Calibri" w:hAnsi="Calibri" w:cs="Calibri"/>
        <w:bCs/>
        <w:sz w:val="18"/>
        <w:szCs w:val="18"/>
      </w:rPr>
      <w:t>-900</w:t>
    </w:r>
    <w:r w:rsidR="003D5735">
      <w:rPr>
        <w:rFonts w:ascii="Calibri" w:eastAsia="Calibri" w:hAnsi="Calibri" w:cs="Calibri"/>
        <w:bCs/>
        <w:sz w:val="18"/>
        <w:szCs w:val="18"/>
      </w:rPr>
      <w:t>325</w:t>
    </w:r>
  </w:p>
  <w:p w14:paraId="0CA104B8" w14:textId="39C6230A" w:rsidR="0038192D" w:rsidRPr="0038192D" w:rsidRDefault="003D5735" w:rsidP="0038192D">
    <w:pPr>
      <w:jc w:val="right"/>
      <w:rPr>
        <w:rFonts w:ascii="Calibri" w:eastAsia="Calibri" w:hAnsi="Calibri" w:cs="Calibri"/>
        <w:bCs/>
        <w:sz w:val="18"/>
        <w:szCs w:val="18"/>
      </w:rPr>
    </w:pPr>
    <w:r>
      <w:rPr>
        <w:rFonts w:ascii="Calibri" w:eastAsia="Calibri" w:hAnsi="Calibri" w:cs="Calibri"/>
        <w:bCs/>
        <w:sz w:val="18"/>
        <w:szCs w:val="18"/>
      </w:rPr>
      <w:t>Community Care Expansion Preservation Operating Subsidy &amp; Behavioral Health Bridge Housing Auxiliary Payments</w:t>
    </w:r>
    <w:r w:rsidR="0038192D" w:rsidRPr="0038192D">
      <w:rPr>
        <w:rFonts w:ascii="Calibri" w:eastAsia="Calibri" w:hAnsi="Calibri" w:cs="Calibri"/>
        <w:bCs/>
        <w:sz w:val="18"/>
        <w:szCs w:val="18"/>
      </w:rPr>
      <w:t xml:space="preserve"> </w:t>
    </w:r>
  </w:p>
  <w:p w14:paraId="183ED1B3" w14:textId="77777777" w:rsidR="0038192D" w:rsidRPr="0038192D" w:rsidRDefault="0038192D" w:rsidP="0038192D">
    <w:pPr>
      <w:pBdr>
        <w:top w:val="nil"/>
        <w:left w:val="nil"/>
        <w:bottom w:val="nil"/>
        <w:right w:val="nil"/>
        <w:between w:val="nil"/>
      </w:pBdr>
      <w:tabs>
        <w:tab w:val="center" w:pos="4320"/>
        <w:tab w:val="right" w:pos="8640"/>
      </w:tabs>
      <w:jc w:val="right"/>
      <w:rPr>
        <w:rFonts w:asciiTheme="majorHAnsi" w:hAnsiTheme="majorHAnsi" w:cstheme="majorHAnsi"/>
        <w:bCs/>
        <w:color w:val="000000"/>
        <w:sz w:val="18"/>
        <w:szCs w:val="18"/>
      </w:rPr>
    </w:pPr>
    <w:r w:rsidRPr="0038192D">
      <w:rPr>
        <w:rFonts w:asciiTheme="majorHAnsi" w:hAnsiTheme="majorHAnsi" w:cstheme="majorHAnsi"/>
        <w:bCs/>
        <w:color w:val="000000"/>
        <w:sz w:val="18"/>
        <w:szCs w:val="18"/>
      </w:rPr>
      <w:t xml:space="preserve">Page </w:t>
    </w:r>
    <w:r w:rsidRPr="0038192D">
      <w:rPr>
        <w:rFonts w:asciiTheme="majorHAnsi" w:hAnsiTheme="majorHAnsi" w:cstheme="majorHAnsi"/>
        <w:bCs/>
        <w:color w:val="000000"/>
        <w:sz w:val="18"/>
        <w:szCs w:val="18"/>
      </w:rPr>
      <w:fldChar w:fldCharType="begin"/>
    </w:r>
    <w:r w:rsidRPr="0038192D">
      <w:rPr>
        <w:rFonts w:asciiTheme="majorHAnsi" w:hAnsiTheme="majorHAnsi" w:cstheme="majorHAnsi"/>
        <w:bCs/>
        <w:color w:val="000000"/>
        <w:sz w:val="18"/>
        <w:szCs w:val="18"/>
      </w:rPr>
      <w:instrText xml:space="preserve"> PAGE  \* Arabic  \* MERGEFORMAT </w:instrText>
    </w:r>
    <w:r w:rsidRPr="0038192D">
      <w:rPr>
        <w:rFonts w:asciiTheme="majorHAnsi" w:hAnsiTheme="majorHAnsi" w:cstheme="majorHAnsi"/>
        <w:bCs/>
        <w:color w:val="000000"/>
        <w:sz w:val="18"/>
        <w:szCs w:val="18"/>
      </w:rPr>
      <w:fldChar w:fldCharType="separate"/>
    </w:r>
    <w:r w:rsidRPr="0038192D">
      <w:rPr>
        <w:rFonts w:asciiTheme="majorHAnsi" w:hAnsiTheme="majorHAnsi" w:cstheme="majorHAnsi"/>
        <w:bCs/>
        <w:color w:val="000000"/>
        <w:sz w:val="18"/>
        <w:szCs w:val="18"/>
      </w:rPr>
      <w:t>1</w:t>
    </w:r>
    <w:r w:rsidRPr="0038192D">
      <w:rPr>
        <w:rFonts w:asciiTheme="majorHAnsi" w:hAnsiTheme="majorHAnsi" w:cstheme="majorHAnsi"/>
        <w:bCs/>
        <w:color w:val="000000"/>
        <w:sz w:val="18"/>
        <w:szCs w:val="18"/>
      </w:rPr>
      <w:fldChar w:fldCharType="end"/>
    </w:r>
    <w:r w:rsidRPr="0038192D">
      <w:rPr>
        <w:rFonts w:asciiTheme="majorHAnsi" w:hAnsiTheme="majorHAnsi" w:cstheme="majorHAnsi"/>
        <w:bCs/>
        <w:color w:val="000000"/>
        <w:sz w:val="18"/>
        <w:szCs w:val="18"/>
      </w:rPr>
      <w:t xml:space="preserve"> of </w:t>
    </w:r>
    <w:r w:rsidRPr="0038192D">
      <w:rPr>
        <w:rFonts w:asciiTheme="majorHAnsi" w:hAnsiTheme="majorHAnsi" w:cstheme="majorHAnsi"/>
        <w:bCs/>
        <w:color w:val="000000"/>
        <w:sz w:val="18"/>
        <w:szCs w:val="18"/>
      </w:rPr>
      <w:fldChar w:fldCharType="begin"/>
    </w:r>
    <w:r w:rsidRPr="0038192D">
      <w:rPr>
        <w:rFonts w:asciiTheme="majorHAnsi" w:hAnsiTheme="majorHAnsi" w:cstheme="majorHAnsi"/>
        <w:bCs/>
        <w:color w:val="000000"/>
        <w:sz w:val="18"/>
        <w:szCs w:val="18"/>
      </w:rPr>
      <w:instrText xml:space="preserve"> NUMPAGES  \* Arabic  \* MERGEFORMAT </w:instrText>
    </w:r>
    <w:r w:rsidRPr="0038192D">
      <w:rPr>
        <w:rFonts w:asciiTheme="majorHAnsi" w:hAnsiTheme="majorHAnsi" w:cstheme="majorHAnsi"/>
        <w:bCs/>
        <w:color w:val="000000"/>
        <w:sz w:val="18"/>
        <w:szCs w:val="18"/>
      </w:rPr>
      <w:fldChar w:fldCharType="separate"/>
    </w:r>
    <w:r w:rsidRPr="0038192D">
      <w:rPr>
        <w:rFonts w:asciiTheme="majorHAnsi" w:hAnsiTheme="majorHAnsi" w:cstheme="majorHAnsi"/>
        <w:bCs/>
        <w:color w:val="000000"/>
        <w:sz w:val="18"/>
        <w:szCs w:val="18"/>
      </w:rPr>
      <w:t>5</w:t>
    </w:r>
    <w:r w:rsidRPr="0038192D">
      <w:rPr>
        <w:rFonts w:asciiTheme="majorHAnsi" w:hAnsiTheme="majorHAnsi" w:cstheme="majorHAnsi"/>
        <w:bCs/>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D27F" w14:textId="2C36457D" w:rsidR="007A5EEE" w:rsidRPr="0038192D" w:rsidRDefault="0038192D" w:rsidP="0038192D">
    <w:pPr>
      <w:pStyle w:val="Title"/>
      <w:jc w:val="right"/>
      <w:rPr>
        <w:rFonts w:asciiTheme="majorHAnsi" w:hAnsiTheme="majorHAnsi" w:cstheme="majorHAnsi"/>
        <w:b w:val="0"/>
        <w:bCs/>
        <w:color w:val="000000"/>
        <w:sz w:val="18"/>
        <w:szCs w:val="18"/>
      </w:rPr>
    </w:pPr>
    <w:r w:rsidRPr="0038192D">
      <w:rPr>
        <w:color w:val="000000"/>
        <w:sz w:val="20"/>
        <w:szCs w:val="20"/>
      </w:rPr>
      <w:tab/>
    </w:r>
    <w:r w:rsidRPr="0038192D">
      <w:rPr>
        <w:b w:val="0"/>
        <w:bCs/>
        <w:color w:val="000000"/>
        <w:sz w:val="20"/>
        <w:szCs w:val="20"/>
      </w:rPr>
      <w:tab/>
    </w:r>
    <w:r w:rsidRPr="0038192D">
      <w:rPr>
        <w:rFonts w:asciiTheme="majorHAnsi" w:hAnsiTheme="majorHAnsi" w:cstheme="majorHAnsi"/>
        <w:b w:val="0"/>
        <w:bCs/>
        <w:color w:val="000000"/>
        <w:sz w:val="18"/>
        <w:szCs w:val="18"/>
      </w:rPr>
      <w:t xml:space="preserve">Page 1 of </w:t>
    </w:r>
    <w:r w:rsidR="003D5735">
      <w:rPr>
        <w:rFonts w:asciiTheme="majorHAnsi" w:hAnsiTheme="majorHAnsi" w:cstheme="majorHAnsi"/>
        <w:b w:val="0"/>
        <w:bCs/>
        <w:color w:val="000000"/>
        <w:sz w:val="18"/>
        <w:szCs w:val="18"/>
      </w:rPr>
      <w:t>3</w:t>
    </w:r>
  </w:p>
  <w:p w14:paraId="26AA57F6" w14:textId="77777777" w:rsidR="007A5EEE" w:rsidRDefault="007A5EE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323E" w14:textId="77777777" w:rsidR="00CC5706" w:rsidRDefault="00CC5706">
      <w:r>
        <w:separator/>
      </w:r>
    </w:p>
  </w:footnote>
  <w:footnote w:type="continuationSeparator" w:id="0">
    <w:p w14:paraId="6192CAC8" w14:textId="77777777" w:rsidR="00CC5706" w:rsidRDefault="00CC5706">
      <w:r>
        <w:continuationSeparator/>
      </w:r>
    </w:p>
  </w:footnote>
  <w:footnote w:type="continuationNotice" w:id="1">
    <w:p w14:paraId="08E31F4B" w14:textId="77777777" w:rsidR="00CC5706" w:rsidRDefault="00CC5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F303" w14:textId="77777777" w:rsidR="00947F79" w:rsidRDefault="00947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0FAD" w14:textId="77777777" w:rsidR="00947F79" w:rsidRDefault="00947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CD84" w14:textId="01A90F63" w:rsidR="007A5EEE" w:rsidRDefault="00EA6796">
    <w:pPr>
      <w:widowControl w:val="0"/>
      <w:pBdr>
        <w:top w:val="nil"/>
        <w:left w:val="nil"/>
        <w:bottom w:val="nil"/>
        <w:right w:val="nil"/>
        <w:between w:val="nil"/>
      </w:pBdr>
      <w:spacing w:line="276" w:lineRule="auto"/>
      <w:rPr>
        <w:rFonts w:ascii="Calibri" w:eastAsia="Calibri" w:hAnsi="Calibri" w:cs="Calibri"/>
        <w:color w:val="000000"/>
      </w:rPr>
    </w:pPr>
    <w:r w:rsidRPr="00EA6796">
      <w:rPr>
        <w:rFonts w:ascii="Calibri" w:eastAsia="Calibri" w:hAnsi="Calibri" w:cs="Calibri"/>
        <w:noProof/>
        <w:color w:val="000000"/>
      </w:rPr>
      <mc:AlternateContent>
        <mc:Choice Requires="wps">
          <w:drawing>
            <wp:anchor distT="45720" distB="45720" distL="114300" distR="114300" simplePos="0" relativeHeight="251659264" behindDoc="0" locked="0" layoutInCell="1" allowOverlap="1" wp14:anchorId="4DBFF53F" wp14:editId="3F15B0A0">
              <wp:simplePos x="0" y="0"/>
              <wp:positionH relativeFrom="column">
                <wp:posOffset>4731118</wp:posOffset>
              </wp:positionH>
              <wp:positionV relativeFrom="paragraph">
                <wp:posOffset>87967</wp:posOffset>
              </wp:positionV>
              <wp:extent cx="22739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404620"/>
                      </a:xfrm>
                      <a:prstGeom prst="rect">
                        <a:avLst/>
                      </a:prstGeom>
                      <a:solidFill>
                        <a:srgbClr val="FFFFFF"/>
                      </a:solidFill>
                      <a:ln w="9525">
                        <a:noFill/>
                        <a:miter lim="800000"/>
                        <a:headEnd/>
                        <a:tailEnd/>
                      </a:ln>
                    </wps:spPr>
                    <wps:txbx>
                      <w:txbxContent>
                        <w:p w14:paraId="5BB6695D" w14:textId="04054ED4" w:rsidR="00EA6796" w:rsidRDefault="00EA6796" w:rsidP="00EA6796">
                          <w:pPr>
                            <w:jc w:val="right"/>
                            <w:rPr>
                              <w:rFonts w:ascii="Arial" w:eastAsia="Arial" w:hAnsi="Arial" w:cs="Arial"/>
                              <w:sz w:val="18"/>
                              <w:szCs w:val="18"/>
                            </w:rPr>
                          </w:pPr>
                          <w:r>
                            <w:rPr>
                              <w:rFonts w:ascii="Arial" w:eastAsia="Arial" w:hAnsi="Arial" w:cs="Arial"/>
                              <w:sz w:val="18"/>
                              <w:szCs w:val="18"/>
                            </w:rPr>
                            <w:t>Alameda County Health</w:t>
                          </w:r>
                        </w:p>
                        <w:p w14:paraId="7FF4F211"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1000 San Leandro Boulevard, Suite 300</w:t>
                          </w:r>
                        </w:p>
                        <w:p w14:paraId="72F77BD8"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San Leandro, CA 94577</w:t>
                          </w:r>
                        </w:p>
                        <w:p w14:paraId="1B570F79"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TEL (510) 618-3452</w:t>
                          </w:r>
                        </w:p>
                        <w:p w14:paraId="75F94E20" w14:textId="77777777" w:rsidR="00EA6796" w:rsidRDefault="00EA6796" w:rsidP="00EA6796">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18"/>
                              <w:szCs w:val="18"/>
                            </w:rPr>
                            <w:t>FAX (510) 351-1367</w:t>
                          </w:r>
                        </w:p>
                        <w:p w14:paraId="0DE721B3" w14:textId="3EACBE17" w:rsidR="00EA6796" w:rsidRDefault="00EA67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FF53F" id="_x0000_t202" coordsize="21600,21600" o:spt="202" path="m,l,21600r21600,l21600,xe">
              <v:stroke joinstyle="miter"/>
              <v:path gradientshapeok="t" o:connecttype="rect"/>
            </v:shapetype>
            <v:shape id="Text Box 2" o:spid="_x0000_s1026" type="#_x0000_t202" style="position:absolute;margin-left:372.55pt;margin-top:6.95pt;width:179.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kxDwIAAPc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FR3FwtruacSYpNZ/nsukhjyUT5fN2hDx8V9CwaFUeaaoIX+0cfYjmifE6Jr3kwutloY5KD&#10;23ptkO0FKWCTVurgVZqxbKj4Yl7ME7KFeD+Jo9eBFGp0X/HbPK6jZiIdH2yTUoLQ5mhTJcae+ImU&#10;HMkJYz1SYuSphuZATCEclUg/h4wO8DdnA6mw4v7XTqDizHyyxPZiOptF2SZnNr8hahheRurLiLCS&#10;oCoeODua65Cknnhw9zSVjU58vVRyqpXUlWg8/YQo30s/Zb3819UfAAAA//8DAFBLAwQUAAYACAAA&#10;ACEAJZoIN98AAAALAQAADwAAAGRycy9kb3ducmV2LnhtbEyPy07DMBBF90j8gzVI7KjzoDxCnKqi&#10;YsMCqQWpXbqxE0fEY8t20/D3TFewHJ2re8/Uq9mObNIhDg4F5IsMmMbWqQF7AV+fb3dPwGKSqOTo&#10;UAv40RFWzfVVLSvlzrjV0y71jEowVlKASclXnMfWaCvjwnmNxDoXrEx0hp6rIM9UbkdeZNkDt3JA&#10;WjDS61ej2+/dyQrYWzOoTfg4dGqcNu/deunn4IW4vZnXL8CSntNfGC76pA4NOR3dCVVko4DH+2VO&#10;UQLlM7BLIM/KAthRQFES4k3N///Q/AIAAP//AwBQSwECLQAUAAYACAAAACEAtoM4kv4AAADhAQAA&#10;EwAAAAAAAAAAAAAAAAAAAAAAW0NvbnRlbnRfVHlwZXNdLnhtbFBLAQItABQABgAIAAAAIQA4/SH/&#10;1gAAAJQBAAALAAAAAAAAAAAAAAAAAC8BAABfcmVscy8ucmVsc1BLAQItABQABgAIAAAAIQCidmkx&#10;DwIAAPcDAAAOAAAAAAAAAAAAAAAAAC4CAABkcnMvZTJvRG9jLnhtbFBLAQItABQABgAIAAAAIQAl&#10;mgg33wAAAAsBAAAPAAAAAAAAAAAAAAAAAGkEAABkcnMvZG93bnJldi54bWxQSwUGAAAAAAQABADz&#10;AAAAdQUAAAAA&#10;" stroked="f">
              <v:textbox style="mso-fit-shape-to-text:t">
                <w:txbxContent>
                  <w:p w14:paraId="5BB6695D" w14:textId="04054ED4" w:rsidR="00EA6796" w:rsidRDefault="00EA6796" w:rsidP="00EA6796">
                    <w:pPr>
                      <w:jc w:val="right"/>
                      <w:rPr>
                        <w:rFonts w:ascii="Arial" w:eastAsia="Arial" w:hAnsi="Arial" w:cs="Arial"/>
                        <w:sz w:val="18"/>
                        <w:szCs w:val="18"/>
                      </w:rPr>
                    </w:pPr>
                    <w:r>
                      <w:rPr>
                        <w:rFonts w:ascii="Arial" w:eastAsia="Arial" w:hAnsi="Arial" w:cs="Arial"/>
                        <w:sz w:val="18"/>
                        <w:szCs w:val="18"/>
                      </w:rPr>
                      <w:t>Alameda County Health</w:t>
                    </w:r>
                  </w:p>
                  <w:p w14:paraId="7FF4F211"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1000 San Leandro Boulevard, Suite 300</w:t>
                    </w:r>
                  </w:p>
                  <w:p w14:paraId="72F77BD8"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San Leandro, CA 94577</w:t>
                    </w:r>
                  </w:p>
                  <w:p w14:paraId="1B570F79" w14:textId="77777777" w:rsidR="00EA6796" w:rsidRDefault="00EA6796" w:rsidP="00EA6796">
                    <w:pPr>
                      <w:jc w:val="right"/>
                      <w:rPr>
                        <w:rFonts w:ascii="Arial" w:eastAsia="Arial" w:hAnsi="Arial" w:cs="Arial"/>
                        <w:sz w:val="18"/>
                        <w:szCs w:val="18"/>
                      </w:rPr>
                    </w:pPr>
                    <w:r>
                      <w:rPr>
                        <w:rFonts w:ascii="Arial" w:eastAsia="Arial" w:hAnsi="Arial" w:cs="Arial"/>
                        <w:sz w:val="18"/>
                        <w:szCs w:val="18"/>
                      </w:rPr>
                      <w:t>TEL (510) 618-3452</w:t>
                    </w:r>
                  </w:p>
                  <w:p w14:paraId="75F94E20" w14:textId="77777777" w:rsidR="00EA6796" w:rsidRDefault="00EA6796" w:rsidP="00EA6796">
                    <w:pPr>
                      <w:pBdr>
                        <w:top w:val="nil"/>
                        <w:left w:val="nil"/>
                        <w:bottom w:val="nil"/>
                        <w:right w:val="nil"/>
                        <w:between w:val="nil"/>
                      </w:pBdr>
                      <w:tabs>
                        <w:tab w:val="center" w:pos="4320"/>
                        <w:tab w:val="right" w:pos="8640"/>
                      </w:tabs>
                      <w:jc w:val="right"/>
                      <w:rPr>
                        <w:color w:val="000000"/>
                      </w:rPr>
                    </w:pPr>
                    <w:r>
                      <w:rPr>
                        <w:rFonts w:ascii="Arial" w:eastAsia="Arial" w:hAnsi="Arial" w:cs="Arial"/>
                        <w:color w:val="000000"/>
                        <w:sz w:val="18"/>
                        <w:szCs w:val="18"/>
                      </w:rPr>
                      <w:t>FAX (510) 351-1367</w:t>
                    </w:r>
                  </w:p>
                  <w:p w14:paraId="0DE721B3" w14:textId="3EACBE17" w:rsidR="00EA6796" w:rsidRDefault="00EA6796"/>
                </w:txbxContent>
              </v:textbox>
              <w10:wrap type="square"/>
            </v:shape>
          </w:pict>
        </mc:Fallback>
      </mc:AlternateContent>
    </w:r>
    <w:r w:rsidR="008B69B7">
      <w:rPr>
        <w:noProof/>
      </w:rPr>
      <w:drawing>
        <wp:inline distT="0" distB="0" distL="0" distR="0" wp14:anchorId="2698E716" wp14:editId="53522D7E">
          <wp:extent cx="1927952" cy="902929"/>
          <wp:effectExtent l="0" t="0" r="0" b="0"/>
          <wp:docPr id="3" name="Picture 3"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pic:cNvPicPr/>
                </pic:nvPicPr>
                <pic:blipFill>
                  <a:blip r:embed="rId1">
                    <a:extLst>
                      <a:ext uri="{28A0092B-C50C-407E-A947-70E740481C1C}">
                        <a14:useLocalDpi xmlns:a14="http://schemas.microsoft.com/office/drawing/2010/main" val="0"/>
                      </a:ext>
                    </a:extLst>
                  </a:blip>
                  <a:stretch>
                    <a:fillRect/>
                  </a:stretch>
                </pic:blipFill>
                <pic:spPr>
                  <a:xfrm>
                    <a:off x="0" y="0"/>
                    <a:ext cx="2019105" cy="945619"/>
                  </a:xfrm>
                  <a:prstGeom prst="rect">
                    <a:avLst/>
                  </a:prstGeom>
                </pic:spPr>
              </pic:pic>
            </a:graphicData>
          </a:graphic>
        </wp:inline>
      </w:drawing>
    </w:r>
  </w:p>
  <w:p w14:paraId="51D8848E" w14:textId="77777777" w:rsidR="00EA6796" w:rsidRDefault="00EA6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69B"/>
    <w:multiLevelType w:val="hybridMultilevel"/>
    <w:tmpl w:val="7736D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F68EB"/>
    <w:multiLevelType w:val="hybridMultilevel"/>
    <w:tmpl w:val="9AB0E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3661B"/>
    <w:multiLevelType w:val="hybridMultilevel"/>
    <w:tmpl w:val="CEC2842E"/>
    <w:lvl w:ilvl="0" w:tplc="FFFFFFFF">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BE158C"/>
    <w:multiLevelType w:val="hybridMultilevel"/>
    <w:tmpl w:val="2B3AA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C7590A"/>
    <w:multiLevelType w:val="hybridMultilevel"/>
    <w:tmpl w:val="4148E6FE"/>
    <w:lvl w:ilvl="0" w:tplc="25F20648">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986528"/>
    <w:multiLevelType w:val="multilevel"/>
    <w:tmpl w:val="FEE40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43A7B"/>
    <w:multiLevelType w:val="hybridMultilevel"/>
    <w:tmpl w:val="11122E92"/>
    <w:lvl w:ilvl="0" w:tplc="FFFFFFFF">
      <w:start w:val="1"/>
      <w:numFmt w:val="decimal"/>
      <w:lvlText w:val="%1."/>
      <w:lvlJc w:val="left"/>
      <w:pPr>
        <w:ind w:left="720" w:hanging="360"/>
      </w:pPr>
      <w:rPr>
        <w:rFonts w:hint="default"/>
      </w:rPr>
    </w:lvl>
    <w:lvl w:ilvl="1" w:tplc="0409000F">
      <w:start w:val="1"/>
      <w:numFmt w:val="decimal"/>
      <w:lvlText w:val="%2."/>
      <w:lvlJc w:val="left"/>
      <w:pPr>
        <w:ind w:left="1496"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E42020"/>
    <w:multiLevelType w:val="hybridMultilevel"/>
    <w:tmpl w:val="2326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021D83"/>
    <w:multiLevelType w:val="hybridMultilevel"/>
    <w:tmpl w:val="95AA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F581D"/>
    <w:multiLevelType w:val="hybridMultilevel"/>
    <w:tmpl w:val="EF26154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52919"/>
    <w:multiLevelType w:val="multilevel"/>
    <w:tmpl w:val="C58E6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2C026D"/>
    <w:multiLevelType w:val="multilevel"/>
    <w:tmpl w:val="0EF8B21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044C51"/>
    <w:multiLevelType w:val="hybridMultilevel"/>
    <w:tmpl w:val="797CF7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15305"/>
    <w:multiLevelType w:val="hybridMultilevel"/>
    <w:tmpl w:val="4424966A"/>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4" w15:restartNumberingAfterBreak="0">
    <w:nsid w:val="50C60563"/>
    <w:multiLevelType w:val="multilevel"/>
    <w:tmpl w:val="BAB2C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C3A2E"/>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F908D4"/>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662A13"/>
    <w:multiLevelType w:val="hybridMultilevel"/>
    <w:tmpl w:val="C204A7B4"/>
    <w:lvl w:ilvl="0" w:tplc="5C020F36">
      <w:start w:val="2"/>
      <w:numFmt w:val="decimal"/>
      <w:lvlText w:val="%1."/>
      <w:lvlJc w:val="left"/>
      <w:pPr>
        <w:ind w:left="14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67BE2"/>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0136EB"/>
    <w:multiLevelType w:val="hybridMultilevel"/>
    <w:tmpl w:val="1628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C3BB3"/>
    <w:multiLevelType w:val="hybridMultilevel"/>
    <w:tmpl w:val="F9027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CC69BC"/>
    <w:multiLevelType w:val="hybridMultilevel"/>
    <w:tmpl w:val="797CF7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2F3D87"/>
    <w:multiLevelType w:val="hybridMultilevel"/>
    <w:tmpl w:val="5BF40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7774FC"/>
    <w:multiLevelType w:val="hybridMultilevel"/>
    <w:tmpl w:val="05A848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593257">
    <w:abstractNumId w:val="22"/>
  </w:num>
  <w:num w:numId="2" w16cid:durableId="1927768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162892">
    <w:abstractNumId w:val="5"/>
  </w:num>
  <w:num w:numId="4" w16cid:durableId="874123882">
    <w:abstractNumId w:val="14"/>
  </w:num>
  <w:num w:numId="5" w16cid:durableId="1853448388">
    <w:abstractNumId w:val="9"/>
  </w:num>
  <w:num w:numId="6" w16cid:durableId="1729768160">
    <w:abstractNumId w:val="4"/>
  </w:num>
  <w:num w:numId="7" w16cid:durableId="203659">
    <w:abstractNumId w:val="11"/>
  </w:num>
  <w:num w:numId="8" w16cid:durableId="1736195802">
    <w:abstractNumId w:val="7"/>
  </w:num>
  <w:num w:numId="9" w16cid:durableId="1938057126">
    <w:abstractNumId w:val="1"/>
  </w:num>
  <w:num w:numId="10" w16cid:durableId="1731229147">
    <w:abstractNumId w:val="20"/>
  </w:num>
  <w:num w:numId="11" w16cid:durableId="684790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189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596446">
    <w:abstractNumId w:val="12"/>
  </w:num>
  <w:num w:numId="14" w16cid:durableId="185751726">
    <w:abstractNumId w:val="0"/>
  </w:num>
  <w:num w:numId="15" w16cid:durableId="473136155">
    <w:abstractNumId w:val="21"/>
  </w:num>
  <w:num w:numId="16" w16cid:durableId="1474129784">
    <w:abstractNumId w:val="16"/>
  </w:num>
  <w:num w:numId="17" w16cid:durableId="1375932927">
    <w:abstractNumId w:val="6"/>
  </w:num>
  <w:num w:numId="18" w16cid:durableId="979961252">
    <w:abstractNumId w:val="23"/>
  </w:num>
  <w:num w:numId="19" w16cid:durableId="1025718456">
    <w:abstractNumId w:val="15"/>
  </w:num>
  <w:num w:numId="20" w16cid:durableId="1711414338">
    <w:abstractNumId w:val="18"/>
  </w:num>
  <w:num w:numId="21" w16cid:durableId="207960376">
    <w:abstractNumId w:val="13"/>
  </w:num>
  <w:num w:numId="22" w16cid:durableId="2002615689">
    <w:abstractNumId w:val="17"/>
  </w:num>
  <w:num w:numId="23" w16cid:durableId="888103971">
    <w:abstractNumId w:val="2"/>
  </w:num>
  <w:num w:numId="24" w16cid:durableId="1485655841">
    <w:abstractNumId w:val="19"/>
  </w:num>
  <w:num w:numId="25" w16cid:durableId="1687558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EE"/>
    <w:rsid w:val="000021E3"/>
    <w:rsid w:val="000046CA"/>
    <w:rsid w:val="0001190C"/>
    <w:rsid w:val="00014F36"/>
    <w:rsid w:val="00015A13"/>
    <w:rsid w:val="00015CB5"/>
    <w:rsid w:val="00020E76"/>
    <w:rsid w:val="0002143D"/>
    <w:rsid w:val="00027A32"/>
    <w:rsid w:val="000317E9"/>
    <w:rsid w:val="0003316E"/>
    <w:rsid w:val="00035242"/>
    <w:rsid w:val="00043843"/>
    <w:rsid w:val="000452FE"/>
    <w:rsid w:val="00045763"/>
    <w:rsid w:val="0004676E"/>
    <w:rsid w:val="00060562"/>
    <w:rsid w:val="00083105"/>
    <w:rsid w:val="000868F3"/>
    <w:rsid w:val="000926BE"/>
    <w:rsid w:val="000952E3"/>
    <w:rsid w:val="000A09D9"/>
    <w:rsid w:val="000A164B"/>
    <w:rsid w:val="000B1CD6"/>
    <w:rsid w:val="000B59EC"/>
    <w:rsid w:val="000C0866"/>
    <w:rsid w:val="000E5811"/>
    <w:rsid w:val="000F7C4F"/>
    <w:rsid w:val="00125BFE"/>
    <w:rsid w:val="0012679D"/>
    <w:rsid w:val="001513EA"/>
    <w:rsid w:val="00155C33"/>
    <w:rsid w:val="00160181"/>
    <w:rsid w:val="00163735"/>
    <w:rsid w:val="00177F24"/>
    <w:rsid w:val="00180B90"/>
    <w:rsid w:val="00181B07"/>
    <w:rsid w:val="001A1C31"/>
    <w:rsid w:val="001A4F52"/>
    <w:rsid w:val="001A66A8"/>
    <w:rsid w:val="001D33A8"/>
    <w:rsid w:val="001E4C9F"/>
    <w:rsid w:val="001E4CF9"/>
    <w:rsid w:val="001F6A92"/>
    <w:rsid w:val="00205FEA"/>
    <w:rsid w:val="002067E2"/>
    <w:rsid w:val="002157A2"/>
    <w:rsid w:val="002166BB"/>
    <w:rsid w:val="00216BF6"/>
    <w:rsid w:val="0023509B"/>
    <w:rsid w:val="002355E6"/>
    <w:rsid w:val="002357D0"/>
    <w:rsid w:val="002369BB"/>
    <w:rsid w:val="00241288"/>
    <w:rsid w:val="002457E4"/>
    <w:rsid w:val="00250A3A"/>
    <w:rsid w:val="00255987"/>
    <w:rsid w:val="00256225"/>
    <w:rsid w:val="00265E91"/>
    <w:rsid w:val="002664AB"/>
    <w:rsid w:val="002839B0"/>
    <w:rsid w:val="002862C4"/>
    <w:rsid w:val="002917BD"/>
    <w:rsid w:val="00295B25"/>
    <w:rsid w:val="002B5957"/>
    <w:rsid w:val="002C717D"/>
    <w:rsid w:val="002D0D4B"/>
    <w:rsid w:val="002D1366"/>
    <w:rsid w:val="002D3554"/>
    <w:rsid w:val="002D5CCC"/>
    <w:rsid w:val="002F1068"/>
    <w:rsid w:val="002F5D4E"/>
    <w:rsid w:val="00307FED"/>
    <w:rsid w:val="00321318"/>
    <w:rsid w:val="00325CD3"/>
    <w:rsid w:val="00330EC3"/>
    <w:rsid w:val="00340343"/>
    <w:rsid w:val="003413AA"/>
    <w:rsid w:val="003435BC"/>
    <w:rsid w:val="003477FD"/>
    <w:rsid w:val="00373323"/>
    <w:rsid w:val="00376A89"/>
    <w:rsid w:val="0038192D"/>
    <w:rsid w:val="00382ED7"/>
    <w:rsid w:val="00385316"/>
    <w:rsid w:val="00386647"/>
    <w:rsid w:val="0038737D"/>
    <w:rsid w:val="00390FB3"/>
    <w:rsid w:val="003963D8"/>
    <w:rsid w:val="003A4527"/>
    <w:rsid w:val="003A7415"/>
    <w:rsid w:val="003A7E2E"/>
    <w:rsid w:val="003B68B1"/>
    <w:rsid w:val="003C16EF"/>
    <w:rsid w:val="003D4A08"/>
    <w:rsid w:val="003D5735"/>
    <w:rsid w:val="003D61CC"/>
    <w:rsid w:val="003E35DE"/>
    <w:rsid w:val="003F29B6"/>
    <w:rsid w:val="003F6A95"/>
    <w:rsid w:val="003F6AB0"/>
    <w:rsid w:val="003F6B61"/>
    <w:rsid w:val="00402D20"/>
    <w:rsid w:val="00414A10"/>
    <w:rsid w:val="004163CA"/>
    <w:rsid w:val="0042757B"/>
    <w:rsid w:val="00442C9A"/>
    <w:rsid w:val="00485B02"/>
    <w:rsid w:val="00491F12"/>
    <w:rsid w:val="0049212C"/>
    <w:rsid w:val="00493267"/>
    <w:rsid w:val="004A67B5"/>
    <w:rsid w:val="004B2E80"/>
    <w:rsid w:val="004C228B"/>
    <w:rsid w:val="004C3A8B"/>
    <w:rsid w:val="004D05DC"/>
    <w:rsid w:val="004D1EB9"/>
    <w:rsid w:val="004D3FA8"/>
    <w:rsid w:val="004D4C17"/>
    <w:rsid w:val="004D506D"/>
    <w:rsid w:val="004D705C"/>
    <w:rsid w:val="004F0583"/>
    <w:rsid w:val="004F37AE"/>
    <w:rsid w:val="004F67F1"/>
    <w:rsid w:val="0050064E"/>
    <w:rsid w:val="005149D7"/>
    <w:rsid w:val="00517789"/>
    <w:rsid w:val="005223C9"/>
    <w:rsid w:val="005237A3"/>
    <w:rsid w:val="00523C32"/>
    <w:rsid w:val="00526441"/>
    <w:rsid w:val="00527966"/>
    <w:rsid w:val="00533F23"/>
    <w:rsid w:val="0053644C"/>
    <w:rsid w:val="005544A3"/>
    <w:rsid w:val="00557CE2"/>
    <w:rsid w:val="00560E5B"/>
    <w:rsid w:val="00591924"/>
    <w:rsid w:val="00594A95"/>
    <w:rsid w:val="005A37CF"/>
    <w:rsid w:val="005B4569"/>
    <w:rsid w:val="005B593B"/>
    <w:rsid w:val="005C032A"/>
    <w:rsid w:val="005C1BA6"/>
    <w:rsid w:val="005C59F9"/>
    <w:rsid w:val="005D19F3"/>
    <w:rsid w:val="005D572A"/>
    <w:rsid w:val="005D5DE2"/>
    <w:rsid w:val="005E4F84"/>
    <w:rsid w:val="005F4975"/>
    <w:rsid w:val="00613C24"/>
    <w:rsid w:val="00613CE8"/>
    <w:rsid w:val="00617D60"/>
    <w:rsid w:val="00620E24"/>
    <w:rsid w:val="00626A7F"/>
    <w:rsid w:val="006408CF"/>
    <w:rsid w:val="00655187"/>
    <w:rsid w:val="00657F5D"/>
    <w:rsid w:val="00661055"/>
    <w:rsid w:val="006663D3"/>
    <w:rsid w:val="00675EC3"/>
    <w:rsid w:val="00676C88"/>
    <w:rsid w:val="00681AD7"/>
    <w:rsid w:val="0068468A"/>
    <w:rsid w:val="006A32AB"/>
    <w:rsid w:val="006A7475"/>
    <w:rsid w:val="006C0B6E"/>
    <w:rsid w:val="006C3E68"/>
    <w:rsid w:val="006C796B"/>
    <w:rsid w:val="006D69FA"/>
    <w:rsid w:val="006E181D"/>
    <w:rsid w:val="006E190E"/>
    <w:rsid w:val="006F6167"/>
    <w:rsid w:val="00704E9B"/>
    <w:rsid w:val="00715CFE"/>
    <w:rsid w:val="0074509E"/>
    <w:rsid w:val="00756C59"/>
    <w:rsid w:val="007638F2"/>
    <w:rsid w:val="00767184"/>
    <w:rsid w:val="007755A2"/>
    <w:rsid w:val="007801B7"/>
    <w:rsid w:val="00792D16"/>
    <w:rsid w:val="007A3E79"/>
    <w:rsid w:val="007A5EEE"/>
    <w:rsid w:val="007B09C4"/>
    <w:rsid w:val="007B52D6"/>
    <w:rsid w:val="007C3310"/>
    <w:rsid w:val="007D1302"/>
    <w:rsid w:val="007F34E1"/>
    <w:rsid w:val="00802D49"/>
    <w:rsid w:val="008174FF"/>
    <w:rsid w:val="008260BB"/>
    <w:rsid w:val="008347EB"/>
    <w:rsid w:val="0083651E"/>
    <w:rsid w:val="00843191"/>
    <w:rsid w:val="0084346E"/>
    <w:rsid w:val="008453AF"/>
    <w:rsid w:val="00845B08"/>
    <w:rsid w:val="00846E93"/>
    <w:rsid w:val="008539D4"/>
    <w:rsid w:val="008646D5"/>
    <w:rsid w:val="008B69B7"/>
    <w:rsid w:val="008C1299"/>
    <w:rsid w:val="008C482C"/>
    <w:rsid w:val="008D0FA8"/>
    <w:rsid w:val="008D767C"/>
    <w:rsid w:val="008E12EB"/>
    <w:rsid w:val="008E1506"/>
    <w:rsid w:val="008E2DC7"/>
    <w:rsid w:val="008E4E5E"/>
    <w:rsid w:val="008E5EE5"/>
    <w:rsid w:val="008E782D"/>
    <w:rsid w:val="008F5BEA"/>
    <w:rsid w:val="00902003"/>
    <w:rsid w:val="00911F27"/>
    <w:rsid w:val="00915302"/>
    <w:rsid w:val="009162CD"/>
    <w:rsid w:val="00923513"/>
    <w:rsid w:val="0094452A"/>
    <w:rsid w:val="00944F2E"/>
    <w:rsid w:val="00947BDF"/>
    <w:rsid w:val="00947F79"/>
    <w:rsid w:val="00963695"/>
    <w:rsid w:val="009759C0"/>
    <w:rsid w:val="00982480"/>
    <w:rsid w:val="00982568"/>
    <w:rsid w:val="00982F07"/>
    <w:rsid w:val="009C5F52"/>
    <w:rsid w:val="009D3169"/>
    <w:rsid w:val="009D7A2D"/>
    <w:rsid w:val="009E1FD6"/>
    <w:rsid w:val="009E4035"/>
    <w:rsid w:val="009F0046"/>
    <w:rsid w:val="00A057B5"/>
    <w:rsid w:val="00A122B0"/>
    <w:rsid w:val="00A34588"/>
    <w:rsid w:val="00A414BD"/>
    <w:rsid w:val="00A44AC1"/>
    <w:rsid w:val="00A47F06"/>
    <w:rsid w:val="00A516FA"/>
    <w:rsid w:val="00A5209C"/>
    <w:rsid w:val="00A52DFF"/>
    <w:rsid w:val="00A61CC8"/>
    <w:rsid w:val="00A739A0"/>
    <w:rsid w:val="00A8238F"/>
    <w:rsid w:val="00A8256A"/>
    <w:rsid w:val="00A9037F"/>
    <w:rsid w:val="00A919FC"/>
    <w:rsid w:val="00A93680"/>
    <w:rsid w:val="00A96C29"/>
    <w:rsid w:val="00AB41D1"/>
    <w:rsid w:val="00AD06E5"/>
    <w:rsid w:val="00AE49E2"/>
    <w:rsid w:val="00AE7789"/>
    <w:rsid w:val="00AF2F6D"/>
    <w:rsid w:val="00AF41A6"/>
    <w:rsid w:val="00AF64A1"/>
    <w:rsid w:val="00B023B8"/>
    <w:rsid w:val="00B04362"/>
    <w:rsid w:val="00B12148"/>
    <w:rsid w:val="00B24783"/>
    <w:rsid w:val="00B262CF"/>
    <w:rsid w:val="00B3675F"/>
    <w:rsid w:val="00B4295A"/>
    <w:rsid w:val="00B478FA"/>
    <w:rsid w:val="00B66764"/>
    <w:rsid w:val="00B70BDE"/>
    <w:rsid w:val="00B76200"/>
    <w:rsid w:val="00B92E71"/>
    <w:rsid w:val="00B95B8F"/>
    <w:rsid w:val="00BA003C"/>
    <w:rsid w:val="00BB2709"/>
    <w:rsid w:val="00BC4A35"/>
    <w:rsid w:val="00BD6C20"/>
    <w:rsid w:val="00BE01AA"/>
    <w:rsid w:val="00BE3471"/>
    <w:rsid w:val="00BE4827"/>
    <w:rsid w:val="00C00990"/>
    <w:rsid w:val="00C1280D"/>
    <w:rsid w:val="00C21560"/>
    <w:rsid w:val="00C364CA"/>
    <w:rsid w:val="00C43EBC"/>
    <w:rsid w:val="00C44A88"/>
    <w:rsid w:val="00C4680B"/>
    <w:rsid w:val="00C5063B"/>
    <w:rsid w:val="00C50DBF"/>
    <w:rsid w:val="00C61988"/>
    <w:rsid w:val="00C73C65"/>
    <w:rsid w:val="00C86CAE"/>
    <w:rsid w:val="00CB0232"/>
    <w:rsid w:val="00CB7E9D"/>
    <w:rsid w:val="00CC06D3"/>
    <w:rsid w:val="00CC287F"/>
    <w:rsid w:val="00CC5706"/>
    <w:rsid w:val="00CC578E"/>
    <w:rsid w:val="00CD0807"/>
    <w:rsid w:val="00CD0EC7"/>
    <w:rsid w:val="00CD11B4"/>
    <w:rsid w:val="00CE0E65"/>
    <w:rsid w:val="00CE354A"/>
    <w:rsid w:val="00CF2163"/>
    <w:rsid w:val="00D01BFD"/>
    <w:rsid w:val="00D21589"/>
    <w:rsid w:val="00D22322"/>
    <w:rsid w:val="00D30DD4"/>
    <w:rsid w:val="00D31E09"/>
    <w:rsid w:val="00D337C7"/>
    <w:rsid w:val="00D50A7A"/>
    <w:rsid w:val="00D50C9D"/>
    <w:rsid w:val="00D53B08"/>
    <w:rsid w:val="00D60B6A"/>
    <w:rsid w:val="00D65C52"/>
    <w:rsid w:val="00D7037B"/>
    <w:rsid w:val="00D724DA"/>
    <w:rsid w:val="00D81D39"/>
    <w:rsid w:val="00D81EC7"/>
    <w:rsid w:val="00D84851"/>
    <w:rsid w:val="00DA632B"/>
    <w:rsid w:val="00DD175E"/>
    <w:rsid w:val="00DD1C92"/>
    <w:rsid w:val="00DD76B9"/>
    <w:rsid w:val="00DE0690"/>
    <w:rsid w:val="00DE5430"/>
    <w:rsid w:val="00DE70E4"/>
    <w:rsid w:val="00E03930"/>
    <w:rsid w:val="00E12241"/>
    <w:rsid w:val="00E14842"/>
    <w:rsid w:val="00E25165"/>
    <w:rsid w:val="00E27FD1"/>
    <w:rsid w:val="00E34662"/>
    <w:rsid w:val="00E36D25"/>
    <w:rsid w:val="00E37FD7"/>
    <w:rsid w:val="00E51E4E"/>
    <w:rsid w:val="00E65952"/>
    <w:rsid w:val="00E67B8F"/>
    <w:rsid w:val="00E72318"/>
    <w:rsid w:val="00E73E82"/>
    <w:rsid w:val="00E756F6"/>
    <w:rsid w:val="00E762B4"/>
    <w:rsid w:val="00E84444"/>
    <w:rsid w:val="00E9127F"/>
    <w:rsid w:val="00EA6796"/>
    <w:rsid w:val="00EB0CFD"/>
    <w:rsid w:val="00EC425C"/>
    <w:rsid w:val="00EE05E3"/>
    <w:rsid w:val="00EE5A87"/>
    <w:rsid w:val="00EF05FC"/>
    <w:rsid w:val="00EF2482"/>
    <w:rsid w:val="00EF2A01"/>
    <w:rsid w:val="00EF7903"/>
    <w:rsid w:val="00EF7F7E"/>
    <w:rsid w:val="00F07C30"/>
    <w:rsid w:val="00F119CC"/>
    <w:rsid w:val="00F12B7C"/>
    <w:rsid w:val="00F23281"/>
    <w:rsid w:val="00F2474F"/>
    <w:rsid w:val="00F31B6D"/>
    <w:rsid w:val="00F3358D"/>
    <w:rsid w:val="00F336A9"/>
    <w:rsid w:val="00F41072"/>
    <w:rsid w:val="00F42D87"/>
    <w:rsid w:val="00F54D7B"/>
    <w:rsid w:val="00F57940"/>
    <w:rsid w:val="00F6079D"/>
    <w:rsid w:val="00F635A9"/>
    <w:rsid w:val="00F76C1C"/>
    <w:rsid w:val="00F848A3"/>
    <w:rsid w:val="00F87EA2"/>
    <w:rsid w:val="00F91FC0"/>
    <w:rsid w:val="00F92238"/>
    <w:rsid w:val="00FA614D"/>
    <w:rsid w:val="00FB406E"/>
    <w:rsid w:val="00FB51E8"/>
    <w:rsid w:val="00FB5E06"/>
    <w:rsid w:val="00FC2581"/>
    <w:rsid w:val="00FC5F3C"/>
    <w:rsid w:val="00FD2069"/>
    <w:rsid w:val="00FE0903"/>
    <w:rsid w:val="00FE2AE7"/>
    <w:rsid w:val="00FF60DD"/>
    <w:rsid w:val="0383C3E8"/>
    <w:rsid w:val="05417FBF"/>
    <w:rsid w:val="0A6112B1"/>
    <w:rsid w:val="0E2F25AF"/>
    <w:rsid w:val="30C9A9D9"/>
    <w:rsid w:val="63E792FC"/>
    <w:rsid w:val="7355A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F44A"/>
  <w15:docId w15:val="{E8E00F81-5E61-4FC2-889A-F5721609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outlineLvl w:val="0"/>
    </w:pPr>
    <w:rPr>
      <w:rFonts w:ascii="Arial" w:eastAsia="Arial" w:hAnsi="Arial" w:cs="Arial"/>
      <w:sz w:val="24"/>
      <w:szCs w:val="24"/>
    </w:rPr>
  </w:style>
  <w:style w:type="paragraph" w:styleId="Heading2">
    <w:name w:val="heading 2"/>
    <w:basedOn w:val="Normal"/>
    <w:next w:val="Normal"/>
    <w:qFormat/>
    <w:pPr>
      <w:keepNext/>
      <w:outlineLvl w:val="1"/>
    </w:pPr>
    <w:rPr>
      <w:rFonts w:ascii="Arial" w:eastAsia="Arial" w:hAnsi="Arial" w:cs="Arial"/>
      <w:b/>
      <w:sz w:val="24"/>
      <w:szCs w:val="24"/>
    </w:rPr>
  </w:style>
  <w:style w:type="paragraph" w:styleId="Heading3">
    <w:name w:val="heading 3"/>
    <w:basedOn w:val="Normal"/>
    <w:next w:val="Normal"/>
    <w:pPr>
      <w:keepNext/>
      <w:jc w:val="right"/>
      <w:outlineLvl w:val="2"/>
    </w:pPr>
    <w:rPr>
      <w:rFonts w:ascii="Arial" w:eastAsia="Arial" w:hAnsi="Arial" w:cs="Arial"/>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944F2E"/>
    <w:rPr>
      <w:sz w:val="16"/>
      <w:szCs w:val="16"/>
    </w:rPr>
  </w:style>
  <w:style w:type="paragraph" w:styleId="CommentText">
    <w:name w:val="annotation text"/>
    <w:basedOn w:val="Normal"/>
    <w:link w:val="CommentTextChar"/>
    <w:uiPriority w:val="99"/>
    <w:unhideWhenUsed/>
    <w:rsid w:val="00944F2E"/>
  </w:style>
  <w:style w:type="character" w:customStyle="1" w:styleId="CommentTextChar">
    <w:name w:val="Comment Text Char"/>
    <w:basedOn w:val="DefaultParagraphFont"/>
    <w:link w:val="CommentText"/>
    <w:uiPriority w:val="99"/>
    <w:rsid w:val="00944F2E"/>
  </w:style>
  <w:style w:type="paragraph" w:styleId="CommentSubject">
    <w:name w:val="annotation subject"/>
    <w:basedOn w:val="CommentText"/>
    <w:next w:val="CommentText"/>
    <w:link w:val="CommentSubjectChar"/>
    <w:uiPriority w:val="99"/>
    <w:semiHidden/>
    <w:unhideWhenUsed/>
    <w:rsid w:val="00944F2E"/>
    <w:rPr>
      <w:b/>
      <w:bCs/>
    </w:rPr>
  </w:style>
  <w:style w:type="character" w:customStyle="1" w:styleId="CommentSubjectChar">
    <w:name w:val="Comment Subject Char"/>
    <w:basedOn w:val="CommentTextChar"/>
    <w:link w:val="CommentSubject"/>
    <w:uiPriority w:val="99"/>
    <w:semiHidden/>
    <w:rsid w:val="00944F2E"/>
    <w:rPr>
      <w:b/>
      <w:bCs/>
    </w:rPr>
  </w:style>
  <w:style w:type="paragraph" w:styleId="BalloonText">
    <w:name w:val="Balloon Text"/>
    <w:basedOn w:val="Normal"/>
    <w:link w:val="BalloonTextChar"/>
    <w:uiPriority w:val="99"/>
    <w:semiHidden/>
    <w:unhideWhenUsed/>
    <w:rsid w:val="00944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F2E"/>
    <w:rPr>
      <w:rFonts w:ascii="Segoe UI" w:hAnsi="Segoe UI" w:cs="Segoe UI"/>
      <w:sz w:val="18"/>
      <w:szCs w:val="18"/>
    </w:rPr>
  </w:style>
  <w:style w:type="character" w:styleId="Hyperlink">
    <w:name w:val="Hyperlink"/>
    <w:uiPriority w:val="99"/>
    <w:unhideWhenUsed/>
    <w:rsid w:val="00591924"/>
    <w:rPr>
      <w:color w:val="0000FF"/>
      <w:u w:val="single"/>
    </w:rPr>
  </w:style>
  <w:style w:type="paragraph" w:styleId="NormalWeb">
    <w:name w:val="Normal (Web)"/>
    <w:basedOn w:val="Normal"/>
    <w:uiPriority w:val="99"/>
    <w:unhideWhenUsed/>
    <w:rsid w:val="007A3E79"/>
    <w:rPr>
      <w:rFonts w:ascii="Calibri" w:hAnsi="Calibri" w:cs="Calibri"/>
      <w:sz w:val="22"/>
      <w:szCs w:val="22"/>
    </w:rPr>
  </w:style>
  <w:style w:type="paragraph" w:styleId="ListParagraph">
    <w:name w:val="List Paragraph"/>
    <w:basedOn w:val="Normal"/>
    <w:uiPriority w:val="34"/>
    <w:qFormat/>
    <w:rsid w:val="007A3E79"/>
    <w:pPr>
      <w:ind w:left="720"/>
    </w:pPr>
    <w:rPr>
      <w:rFonts w:ascii="Calibri" w:eastAsiaTheme="minorHAnsi" w:hAnsi="Calibri" w:cs="Calibri"/>
      <w:sz w:val="22"/>
      <w:szCs w:val="22"/>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A32AB"/>
    <w:rPr>
      <w:color w:val="605E5C"/>
      <w:shd w:val="clear" w:color="auto" w:fill="E1DFDD"/>
    </w:rPr>
  </w:style>
  <w:style w:type="character" w:styleId="FollowedHyperlink">
    <w:name w:val="FollowedHyperlink"/>
    <w:basedOn w:val="DefaultParagraphFont"/>
    <w:uiPriority w:val="99"/>
    <w:semiHidden/>
    <w:unhideWhenUsed/>
    <w:rsid w:val="006A32AB"/>
    <w:rPr>
      <w:color w:val="800080" w:themeColor="followedHyperlink"/>
      <w:u w:val="single"/>
    </w:rPr>
  </w:style>
  <w:style w:type="paragraph" w:customStyle="1" w:styleId="Item1">
    <w:name w:val="Item 1"/>
    <w:basedOn w:val="Normal"/>
    <w:link w:val="Item1Char"/>
    <w:qFormat/>
    <w:rsid w:val="00F12B7C"/>
    <w:pPr>
      <w:tabs>
        <w:tab w:val="num" w:pos="1440"/>
      </w:tabs>
      <w:spacing w:after="240"/>
      <w:ind w:left="2160" w:hanging="720"/>
    </w:pPr>
    <w:rPr>
      <w:rFonts w:ascii="Calibri" w:hAnsi="Calibri"/>
      <w:sz w:val="26"/>
      <w:lang w:val="x-none" w:eastAsia="x-none"/>
    </w:rPr>
  </w:style>
  <w:style w:type="paragraph" w:customStyle="1" w:styleId="Itema">
    <w:name w:val="Item a."/>
    <w:basedOn w:val="Normal"/>
    <w:qFormat/>
    <w:rsid w:val="00F12B7C"/>
    <w:pPr>
      <w:tabs>
        <w:tab w:val="num" w:pos="2160"/>
      </w:tabs>
      <w:spacing w:after="240"/>
      <w:ind w:left="2880" w:hanging="720"/>
    </w:pPr>
    <w:rPr>
      <w:rFonts w:ascii="Calibri" w:hAnsi="Calibri"/>
      <w:sz w:val="26"/>
      <w:lang w:val="x-none" w:eastAsia="x-none"/>
    </w:rPr>
  </w:style>
  <w:style w:type="character" w:customStyle="1" w:styleId="Item1Char">
    <w:name w:val="Item 1 Char"/>
    <w:link w:val="Item1"/>
    <w:rsid w:val="00F12B7C"/>
    <w:rPr>
      <w:rFonts w:ascii="Calibri" w:hAnsi="Calibri"/>
      <w:sz w:val="26"/>
      <w:lang w:val="x-none" w:eastAsia="x-none"/>
    </w:rPr>
  </w:style>
  <w:style w:type="paragraph" w:customStyle="1" w:styleId="Item10">
    <w:name w:val="Item (1)"/>
    <w:basedOn w:val="Itema"/>
    <w:qFormat/>
    <w:rsid w:val="00F12B7C"/>
    <w:pPr>
      <w:tabs>
        <w:tab w:val="clear" w:pos="2160"/>
        <w:tab w:val="num" w:pos="2880"/>
      </w:tabs>
      <w:ind w:left="3600"/>
    </w:pPr>
  </w:style>
  <w:style w:type="paragraph" w:customStyle="1" w:styleId="Itema0">
    <w:name w:val="Item (a)"/>
    <w:basedOn w:val="Item10"/>
    <w:qFormat/>
    <w:rsid w:val="00F12B7C"/>
    <w:pPr>
      <w:tabs>
        <w:tab w:val="clear" w:pos="2880"/>
      </w:tabs>
      <w:ind w:left="4320"/>
    </w:pPr>
  </w:style>
  <w:style w:type="paragraph" w:customStyle="1" w:styleId="Itemi">
    <w:name w:val="Item i."/>
    <w:basedOn w:val="Itema0"/>
    <w:qFormat/>
    <w:rsid w:val="00F12B7C"/>
    <w:pPr>
      <w:tabs>
        <w:tab w:val="num" w:pos="4320"/>
      </w:tabs>
      <w:ind w:left="5040"/>
    </w:pPr>
  </w:style>
  <w:style w:type="paragraph" w:styleId="Revision">
    <w:name w:val="Revision"/>
    <w:hidden/>
    <w:uiPriority w:val="99"/>
    <w:semiHidden/>
    <w:rsid w:val="00FC5F3C"/>
  </w:style>
  <w:style w:type="paragraph" w:customStyle="1" w:styleId="elementtoproof">
    <w:name w:val="elementtoproof"/>
    <w:basedOn w:val="Normal"/>
    <w:uiPriority w:val="99"/>
    <w:semiHidden/>
    <w:rsid w:val="00B92E71"/>
    <w:rPr>
      <w:rFonts w:ascii="Calibri" w:eastAsiaTheme="minorHAnsi" w:hAnsi="Calibri" w:cs="Calibri"/>
      <w:sz w:val="22"/>
      <w:szCs w:val="22"/>
    </w:rPr>
  </w:style>
  <w:style w:type="paragraph" w:styleId="Header">
    <w:name w:val="header"/>
    <w:basedOn w:val="Normal"/>
    <w:link w:val="HeaderChar"/>
    <w:uiPriority w:val="99"/>
    <w:unhideWhenUsed/>
    <w:rsid w:val="00704E9B"/>
    <w:pPr>
      <w:tabs>
        <w:tab w:val="center" w:pos="4680"/>
        <w:tab w:val="right" w:pos="9360"/>
      </w:tabs>
    </w:pPr>
  </w:style>
  <w:style w:type="character" w:customStyle="1" w:styleId="HeaderChar">
    <w:name w:val="Header Char"/>
    <w:basedOn w:val="DefaultParagraphFont"/>
    <w:link w:val="Header"/>
    <w:uiPriority w:val="99"/>
    <w:rsid w:val="00704E9B"/>
  </w:style>
  <w:style w:type="paragraph" w:styleId="Footer">
    <w:name w:val="footer"/>
    <w:basedOn w:val="Normal"/>
    <w:link w:val="FooterChar"/>
    <w:uiPriority w:val="99"/>
    <w:unhideWhenUsed/>
    <w:rsid w:val="00704E9B"/>
    <w:pPr>
      <w:tabs>
        <w:tab w:val="center" w:pos="4680"/>
        <w:tab w:val="right" w:pos="9360"/>
      </w:tabs>
    </w:pPr>
  </w:style>
  <w:style w:type="character" w:customStyle="1" w:styleId="FooterChar">
    <w:name w:val="Footer Char"/>
    <w:basedOn w:val="DefaultParagraphFont"/>
    <w:link w:val="Footer"/>
    <w:uiPriority w:val="99"/>
    <w:rsid w:val="00704E9B"/>
  </w:style>
  <w:style w:type="character" w:styleId="UnresolvedMention">
    <w:name w:val="Unresolved Mention"/>
    <w:basedOn w:val="DefaultParagraphFont"/>
    <w:uiPriority w:val="99"/>
    <w:semiHidden/>
    <w:unhideWhenUsed/>
    <w:rsid w:val="0012679D"/>
    <w:rPr>
      <w:color w:val="605E5C"/>
      <w:shd w:val="clear" w:color="auto" w:fill="E1DFDD"/>
    </w:rPr>
  </w:style>
  <w:style w:type="character" w:styleId="Mention">
    <w:name w:val="Mention"/>
    <w:basedOn w:val="DefaultParagraphFont"/>
    <w:uiPriority w:val="99"/>
    <w:unhideWhenUsed/>
    <w:rsid w:val="00F57940"/>
    <w:rPr>
      <w:color w:val="2B579A"/>
      <w:shd w:val="clear" w:color="auto" w:fill="E1DFDD"/>
    </w:rPr>
  </w:style>
  <w:style w:type="table" w:styleId="TableGrid">
    <w:name w:val="Table Grid"/>
    <w:basedOn w:val="TableNormal"/>
    <w:uiPriority w:val="39"/>
    <w:rsid w:val="00EA679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A6796"/>
  </w:style>
  <w:style w:type="paragraph" w:customStyle="1" w:styleId="Default">
    <w:name w:val="Default"/>
    <w:rsid w:val="00EA6796"/>
    <w:pPr>
      <w:autoSpaceDE w:val="0"/>
      <w:autoSpaceDN w:val="0"/>
      <w:adjustRightInd w:val="0"/>
    </w:pPr>
    <w:rPr>
      <w:rFonts w:ascii="Calibri" w:eastAsiaTheme="minorHAnsi" w:hAnsi="Calibri" w:cs="Calibri"/>
      <w:color w:val="000000"/>
      <w:sz w:val="24"/>
      <w:szCs w:val="24"/>
      <w14:ligatures w14:val="standardContextual"/>
    </w:rPr>
  </w:style>
  <w:style w:type="paragraph" w:customStyle="1" w:styleId="RFP-QHeader2">
    <w:name w:val="RFP-Q Header 2"/>
    <w:basedOn w:val="Normal"/>
    <w:qFormat/>
    <w:rsid w:val="00BB2709"/>
    <w:pPr>
      <w:jc w:val="center"/>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4853">
      <w:bodyDiv w:val="1"/>
      <w:marLeft w:val="0"/>
      <w:marRight w:val="0"/>
      <w:marTop w:val="0"/>
      <w:marBottom w:val="0"/>
      <w:divBdr>
        <w:top w:val="none" w:sz="0" w:space="0" w:color="auto"/>
        <w:left w:val="none" w:sz="0" w:space="0" w:color="auto"/>
        <w:bottom w:val="none" w:sz="0" w:space="0" w:color="auto"/>
        <w:right w:val="none" w:sz="0" w:space="0" w:color="auto"/>
      </w:divBdr>
    </w:div>
    <w:div w:id="246380556">
      <w:bodyDiv w:val="1"/>
      <w:marLeft w:val="0"/>
      <w:marRight w:val="0"/>
      <w:marTop w:val="0"/>
      <w:marBottom w:val="0"/>
      <w:divBdr>
        <w:top w:val="none" w:sz="0" w:space="0" w:color="auto"/>
        <w:left w:val="none" w:sz="0" w:space="0" w:color="auto"/>
        <w:bottom w:val="none" w:sz="0" w:space="0" w:color="auto"/>
        <w:right w:val="none" w:sz="0" w:space="0" w:color="auto"/>
      </w:divBdr>
    </w:div>
    <w:div w:id="425078706">
      <w:bodyDiv w:val="1"/>
      <w:marLeft w:val="0"/>
      <w:marRight w:val="0"/>
      <w:marTop w:val="0"/>
      <w:marBottom w:val="0"/>
      <w:divBdr>
        <w:top w:val="none" w:sz="0" w:space="0" w:color="auto"/>
        <w:left w:val="none" w:sz="0" w:space="0" w:color="auto"/>
        <w:bottom w:val="none" w:sz="0" w:space="0" w:color="auto"/>
        <w:right w:val="none" w:sz="0" w:space="0" w:color="auto"/>
      </w:divBdr>
      <w:divsChild>
        <w:div w:id="935601809">
          <w:marLeft w:val="0"/>
          <w:marRight w:val="0"/>
          <w:marTop w:val="0"/>
          <w:marBottom w:val="0"/>
          <w:divBdr>
            <w:top w:val="none" w:sz="0" w:space="0" w:color="auto"/>
            <w:left w:val="none" w:sz="0" w:space="0" w:color="auto"/>
            <w:bottom w:val="none" w:sz="0" w:space="0" w:color="auto"/>
            <w:right w:val="none" w:sz="0" w:space="0" w:color="auto"/>
          </w:divBdr>
        </w:div>
      </w:divsChild>
    </w:div>
    <w:div w:id="436753443">
      <w:bodyDiv w:val="1"/>
      <w:marLeft w:val="0"/>
      <w:marRight w:val="0"/>
      <w:marTop w:val="0"/>
      <w:marBottom w:val="0"/>
      <w:divBdr>
        <w:top w:val="none" w:sz="0" w:space="0" w:color="auto"/>
        <w:left w:val="none" w:sz="0" w:space="0" w:color="auto"/>
        <w:bottom w:val="none" w:sz="0" w:space="0" w:color="auto"/>
        <w:right w:val="none" w:sz="0" w:space="0" w:color="auto"/>
      </w:divBdr>
      <w:divsChild>
        <w:div w:id="399256887">
          <w:marLeft w:val="0"/>
          <w:marRight w:val="0"/>
          <w:marTop w:val="0"/>
          <w:marBottom w:val="0"/>
          <w:divBdr>
            <w:top w:val="none" w:sz="0" w:space="0" w:color="auto"/>
            <w:left w:val="none" w:sz="0" w:space="0" w:color="auto"/>
            <w:bottom w:val="none" w:sz="0" w:space="0" w:color="auto"/>
            <w:right w:val="none" w:sz="0" w:space="0" w:color="auto"/>
          </w:divBdr>
        </w:div>
      </w:divsChild>
    </w:div>
    <w:div w:id="654919395">
      <w:bodyDiv w:val="1"/>
      <w:marLeft w:val="0"/>
      <w:marRight w:val="0"/>
      <w:marTop w:val="0"/>
      <w:marBottom w:val="0"/>
      <w:divBdr>
        <w:top w:val="none" w:sz="0" w:space="0" w:color="auto"/>
        <w:left w:val="none" w:sz="0" w:space="0" w:color="auto"/>
        <w:bottom w:val="none" w:sz="0" w:space="0" w:color="auto"/>
        <w:right w:val="none" w:sz="0" w:space="0" w:color="auto"/>
      </w:divBdr>
    </w:div>
    <w:div w:id="934561131">
      <w:bodyDiv w:val="1"/>
      <w:marLeft w:val="0"/>
      <w:marRight w:val="0"/>
      <w:marTop w:val="0"/>
      <w:marBottom w:val="0"/>
      <w:divBdr>
        <w:top w:val="none" w:sz="0" w:space="0" w:color="auto"/>
        <w:left w:val="none" w:sz="0" w:space="0" w:color="auto"/>
        <w:bottom w:val="none" w:sz="0" w:space="0" w:color="auto"/>
        <w:right w:val="none" w:sz="0" w:space="0" w:color="auto"/>
      </w:divBdr>
    </w:div>
    <w:div w:id="1030952874">
      <w:bodyDiv w:val="1"/>
      <w:marLeft w:val="0"/>
      <w:marRight w:val="0"/>
      <w:marTop w:val="0"/>
      <w:marBottom w:val="0"/>
      <w:divBdr>
        <w:top w:val="none" w:sz="0" w:space="0" w:color="auto"/>
        <w:left w:val="none" w:sz="0" w:space="0" w:color="auto"/>
        <w:bottom w:val="none" w:sz="0" w:space="0" w:color="auto"/>
        <w:right w:val="none" w:sz="0" w:space="0" w:color="auto"/>
      </w:divBdr>
    </w:div>
    <w:div w:id="1071854156">
      <w:bodyDiv w:val="1"/>
      <w:marLeft w:val="0"/>
      <w:marRight w:val="0"/>
      <w:marTop w:val="0"/>
      <w:marBottom w:val="0"/>
      <w:divBdr>
        <w:top w:val="none" w:sz="0" w:space="0" w:color="auto"/>
        <w:left w:val="none" w:sz="0" w:space="0" w:color="auto"/>
        <w:bottom w:val="none" w:sz="0" w:space="0" w:color="auto"/>
        <w:right w:val="none" w:sz="0" w:space="0" w:color="auto"/>
      </w:divBdr>
    </w:div>
    <w:div w:id="1081949135">
      <w:bodyDiv w:val="1"/>
      <w:marLeft w:val="0"/>
      <w:marRight w:val="0"/>
      <w:marTop w:val="0"/>
      <w:marBottom w:val="0"/>
      <w:divBdr>
        <w:top w:val="none" w:sz="0" w:space="0" w:color="auto"/>
        <w:left w:val="none" w:sz="0" w:space="0" w:color="auto"/>
        <w:bottom w:val="none" w:sz="0" w:space="0" w:color="auto"/>
        <w:right w:val="none" w:sz="0" w:space="0" w:color="auto"/>
      </w:divBdr>
    </w:div>
    <w:div w:id="1096096466">
      <w:bodyDiv w:val="1"/>
      <w:marLeft w:val="0"/>
      <w:marRight w:val="0"/>
      <w:marTop w:val="0"/>
      <w:marBottom w:val="0"/>
      <w:divBdr>
        <w:top w:val="none" w:sz="0" w:space="0" w:color="auto"/>
        <w:left w:val="none" w:sz="0" w:space="0" w:color="auto"/>
        <w:bottom w:val="none" w:sz="0" w:space="0" w:color="auto"/>
        <w:right w:val="none" w:sz="0" w:space="0" w:color="auto"/>
      </w:divBdr>
      <w:divsChild>
        <w:div w:id="996804593">
          <w:marLeft w:val="0"/>
          <w:marRight w:val="0"/>
          <w:marTop w:val="0"/>
          <w:marBottom w:val="0"/>
          <w:divBdr>
            <w:top w:val="none" w:sz="0" w:space="0" w:color="auto"/>
            <w:left w:val="none" w:sz="0" w:space="0" w:color="auto"/>
            <w:bottom w:val="none" w:sz="0" w:space="0" w:color="auto"/>
            <w:right w:val="none" w:sz="0" w:space="0" w:color="auto"/>
          </w:divBdr>
        </w:div>
      </w:divsChild>
    </w:div>
    <w:div w:id="1111631437">
      <w:bodyDiv w:val="1"/>
      <w:marLeft w:val="0"/>
      <w:marRight w:val="0"/>
      <w:marTop w:val="0"/>
      <w:marBottom w:val="0"/>
      <w:divBdr>
        <w:top w:val="none" w:sz="0" w:space="0" w:color="auto"/>
        <w:left w:val="none" w:sz="0" w:space="0" w:color="auto"/>
        <w:bottom w:val="none" w:sz="0" w:space="0" w:color="auto"/>
        <w:right w:val="none" w:sz="0" w:space="0" w:color="auto"/>
      </w:divBdr>
    </w:div>
    <w:div w:id="1351293590">
      <w:bodyDiv w:val="1"/>
      <w:marLeft w:val="0"/>
      <w:marRight w:val="0"/>
      <w:marTop w:val="0"/>
      <w:marBottom w:val="0"/>
      <w:divBdr>
        <w:top w:val="none" w:sz="0" w:space="0" w:color="auto"/>
        <w:left w:val="none" w:sz="0" w:space="0" w:color="auto"/>
        <w:bottom w:val="none" w:sz="0" w:space="0" w:color="auto"/>
        <w:right w:val="none" w:sz="0" w:space="0" w:color="auto"/>
      </w:divBdr>
      <w:divsChild>
        <w:div w:id="1866862789">
          <w:marLeft w:val="0"/>
          <w:marRight w:val="0"/>
          <w:marTop w:val="0"/>
          <w:marBottom w:val="0"/>
          <w:divBdr>
            <w:top w:val="none" w:sz="0" w:space="0" w:color="auto"/>
            <w:left w:val="none" w:sz="0" w:space="0" w:color="auto"/>
            <w:bottom w:val="none" w:sz="0" w:space="0" w:color="auto"/>
            <w:right w:val="none" w:sz="0" w:space="0" w:color="auto"/>
          </w:divBdr>
        </w:div>
      </w:divsChild>
    </w:div>
    <w:div w:id="1356735239">
      <w:bodyDiv w:val="1"/>
      <w:marLeft w:val="0"/>
      <w:marRight w:val="0"/>
      <w:marTop w:val="0"/>
      <w:marBottom w:val="0"/>
      <w:divBdr>
        <w:top w:val="none" w:sz="0" w:space="0" w:color="auto"/>
        <w:left w:val="none" w:sz="0" w:space="0" w:color="auto"/>
        <w:bottom w:val="none" w:sz="0" w:space="0" w:color="auto"/>
        <w:right w:val="none" w:sz="0" w:space="0" w:color="auto"/>
      </w:divBdr>
    </w:div>
    <w:div w:id="1672753759">
      <w:bodyDiv w:val="1"/>
      <w:marLeft w:val="0"/>
      <w:marRight w:val="0"/>
      <w:marTop w:val="0"/>
      <w:marBottom w:val="0"/>
      <w:divBdr>
        <w:top w:val="none" w:sz="0" w:space="0" w:color="auto"/>
        <w:left w:val="none" w:sz="0" w:space="0" w:color="auto"/>
        <w:bottom w:val="none" w:sz="0" w:space="0" w:color="auto"/>
        <w:right w:val="none" w:sz="0" w:space="0" w:color="auto"/>
      </w:divBdr>
    </w:div>
    <w:div w:id="1889411250">
      <w:bodyDiv w:val="1"/>
      <w:marLeft w:val="0"/>
      <w:marRight w:val="0"/>
      <w:marTop w:val="0"/>
      <w:marBottom w:val="0"/>
      <w:divBdr>
        <w:top w:val="none" w:sz="0" w:space="0" w:color="auto"/>
        <w:left w:val="none" w:sz="0" w:space="0" w:color="auto"/>
        <w:bottom w:val="none" w:sz="0" w:space="0" w:color="auto"/>
        <w:right w:val="none" w:sz="0" w:space="0" w:color="auto"/>
      </w:divBdr>
    </w:div>
    <w:div w:id="1948348973">
      <w:bodyDiv w:val="1"/>
      <w:marLeft w:val="0"/>
      <w:marRight w:val="0"/>
      <w:marTop w:val="0"/>
      <w:marBottom w:val="0"/>
      <w:divBdr>
        <w:top w:val="none" w:sz="0" w:space="0" w:color="auto"/>
        <w:left w:val="none" w:sz="0" w:space="0" w:color="auto"/>
        <w:bottom w:val="none" w:sz="0" w:space="0" w:color="auto"/>
        <w:right w:val="none" w:sz="0" w:space="0" w:color="auto"/>
      </w:divBdr>
    </w:div>
    <w:div w:id="198215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gov.org/gsa_app/gsa/purchasing/bid_content/contractopportunities.js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cgov.org/gsaapp/purchasing/bidContent_ftp/rfpDocs/2978_RFQ%23ACH-900325_BudgetForm.xls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a.acgov.org/do-business-with-us/contracting-opportunities/current-bid/?bidid=2978"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95109-C04A-462D-A8BD-9B03F8CC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935</Words>
  <Characters>5336</Characters>
  <Application>Microsoft Office Word</Application>
  <DocSecurity>0</DocSecurity>
  <Lines>44</Lines>
  <Paragraphs>12</Paragraphs>
  <ScaleCrop>false</ScaleCrop>
  <Company>Hewlett-Packard Company</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Dodge, Andrea, HCSA</dc:creator>
  <cp:lastModifiedBy>Palacios, Mona, HCSA</cp:lastModifiedBy>
  <cp:revision>11</cp:revision>
  <cp:lastPrinted>2021-12-24T13:10:00Z</cp:lastPrinted>
  <dcterms:created xsi:type="dcterms:W3CDTF">2024-10-21T20:39:00Z</dcterms:created>
  <dcterms:modified xsi:type="dcterms:W3CDTF">2024-10-25T20:09:00Z</dcterms:modified>
</cp:coreProperties>
</file>